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2D6" w:rsidRDefault="009D12D6"/>
    <w:p w:rsidR="009D12D6" w:rsidRPr="0010769E" w:rsidRDefault="009D12D6" w:rsidP="008A54FC">
      <w:pPr>
        <w:jc w:val="center"/>
      </w:pPr>
    </w:p>
    <w:p w:rsidR="009D12D6" w:rsidRPr="0010769E" w:rsidRDefault="009D12D6" w:rsidP="008A54FC">
      <w:pPr>
        <w:jc w:val="center"/>
      </w:pPr>
    </w:p>
    <w:p w:rsidR="009D12D6" w:rsidRPr="0010769E" w:rsidRDefault="009D12D6" w:rsidP="008A54FC"/>
    <w:p w:rsidR="009D12D6" w:rsidRPr="0010769E" w:rsidRDefault="009D12D6" w:rsidP="008A54FC"/>
    <w:p w:rsidR="009D12D6" w:rsidRPr="0010769E" w:rsidRDefault="009D12D6" w:rsidP="008A54FC">
      <w:pPr>
        <w:jc w:val="center"/>
        <w:rPr>
          <w:b/>
          <w:sz w:val="24"/>
        </w:rPr>
      </w:pPr>
    </w:p>
    <w:p w:rsidR="009D12D6" w:rsidRPr="0010769E" w:rsidRDefault="009D12D6" w:rsidP="00941FD2"/>
    <w:tbl>
      <w:tblPr>
        <w:tblW w:w="10207" w:type="dxa"/>
        <w:tblInd w:w="-72" w:type="dxa"/>
        <w:tblLayout w:type="fixed"/>
        <w:tblCellMar>
          <w:left w:w="70" w:type="dxa"/>
          <w:right w:w="70" w:type="dxa"/>
        </w:tblCellMar>
        <w:tblLook w:val="0000"/>
      </w:tblPr>
      <w:tblGrid>
        <w:gridCol w:w="4965"/>
        <w:gridCol w:w="1003"/>
        <w:gridCol w:w="4239"/>
      </w:tblGrid>
      <w:tr w:rsidR="009D12D6" w:rsidRPr="00C50733" w:rsidTr="00A05628">
        <w:trPr>
          <w:cantSplit/>
          <w:trHeight w:val="541"/>
        </w:trPr>
        <w:tc>
          <w:tcPr>
            <w:tcW w:w="5968" w:type="dxa"/>
            <w:gridSpan w:val="2"/>
            <w:tcBorders>
              <w:top w:val="nil"/>
              <w:left w:val="nil"/>
              <w:bottom w:val="nil"/>
              <w:right w:val="nil"/>
            </w:tcBorders>
          </w:tcPr>
          <w:p w:rsidR="009D12D6" w:rsidRPr="00E808F3" w:rsidRDefault="009D12D6" w:rsidP="003D750C">
            <w:pPr>
              <w:rPr>
                <w:b/>
                <w:sz w:val="24"/>
              </w:rPr>
            </w:pPr>
          </w:p>
        </w:tc>
        <w:tc>
          <w:tcPr>
            <w:tcW w:w="4239" w:type="dxa"/>
            <w:tcBorders>
              <w:top w:val="nil"/>
              <w:left w:val="nil"/>
              <w:bottom w:val="nil"/>
              <w:right w:val="nil"/>
            </w:tcBorders>
          </w:tcPr>
          <w:p w:rsidR="009D12D6" w:rsidRPr="00C50733" w:rsidRDefault="009D12D6" w:rsidP="00634AF1">
            <w:pPr>
              <w:jc w:val="right"/>
              <w:rPr>
                <w:b/>
                <w:sz w:val="24"/>
                <w:lang w:val="it-IT"/>
              </w:rPr>
            </w:pPr>
            <w:r>
              <w:rPr>
                <w:rFonts w:cs="Arial"/>
                <w:b/>
                <w:sz w:val="24"/>
                <w:lang w:val="en-GB"/>
              </w:rPr>
              <w:t>CPG15(13)xx Annex 1</w:t>
            </w:r>
            <w:r w:rsidRPr="00C50733">
              <w:rPr>
                <w:b/>
                <w:sz w:val="24"/>
                <w:lang w:val="it-IT"/>
              </w:rPr>
              <w:t xml:space="preserve"> </w:t>
            </w:r>
          </w:p>
        </w:tc>
      </w:tr>
      <w:tr w:rsidR="009D12D6" w:rsidRPr="00E808F3" w:rsidTr="00A05628">
        <w:tblPrEx>
          <w:tblCellMar>
            <w:left w:w="108" w:type="dxa"/>
            <w:right w:w="108" w:type="dxa"/>
          </w:tblCellMar>
        </w:tblPrEx>
        <w:trPr>
          <w:cantSplit/>
        </w:trPr>
        <w:tc>
          <w:tcPr>
            <w:tcW w:w="4965" w:type="dxa"/>
            <w:tcBorders>
              <w:top w:val="nil"/>
              <w:left w:val="nil"/>
              <w:bottom w:val="nil"/>
              <w:right w:val="nil"/>
            </w:tcBorders>
          </w:tcPr>
          <w:p w:rsidR="009D12D6" w:rsidRDefault="009D12D6" w:rsidP="003D750C">
            <w:pPr>
              <w:rPr>
                <w:b/>
                <w:noProof/>
                <w:sz w:val="24"/>
              </w:rPr>
            </w:pPr>
            <w:r>
              <w:rPr>
                <w:b/>
                <w:noProof/>
                <w:sz w:val="24"/>
              </w:rPr>
              <w:t>2</w:t>
            </w:r>
            <w:r w:rsidRPr="00634AF1">
              <w:rPr>
                <w:b/>
                <w:noProof/>
                <w:sz w:val="24"/>
                <w:vertAlign w:val="superscript"/>
              </w:rPr>
              <w:t>nd</w:t>
            </w:r>
            <w:r>
              <w:rPr>
                <w:b/>
                <w:noProof/>
                <w:sz w:val="24"/>
              </w:rPr>
              <w:t xml:space="preserve"> Meeting </w:t>
            </w:r>
            <w:r>
              <w:rPr>
                <w:b/>
                <w:sz w:val="24"/>
              </w:rPr>
              <w:t>CPG</w:t>
            </w:r>
            <w:r w:rsidRPr="00E808F3">
              <w:rPr>
                <w:b/>
                <w:sz w:val="24"/>
              </w:rPr>
              <w:t>1</w:t>
            </w:r>
            <w:r>
              <w:rPr>
                <w:b/>
                <w:sz w:val="24"/>
              </w:rPr>
              <w:t>5</w:t>
            </w:r>
            <w:r w:rsidRPr="00E808F3">
              <w:rPr>
                <w:b/>
                <w:sz w:val="24"/>
              </w:rPr>
              <w:t xml:space="preserve"> </w:t>
            </w:r>
          </w:p>
          <w:p w:rsidR="009D12D6" w:rsidRPr="00E808F3" w:rsidRDefault="009D12D6" w:rsidP="003D750C">
            <w:pPr>
              <w:rPr>
                <w:b/>
                <w:noProof/>
                <w:sz w:val="24"/>
              </w:rPr>
            </w:pPr>
            <w:r>
              <w:rPr>
                <w:b/>
                <w:noProof/>
                <w:sz w:val="24"/>
              </w:rPr>
              <w:t xml:space="preserve">Luxembourg, 5 – 7 January 2013 </w:t>
            </w:r>
          </w:p>
          <w:p w:rsidR="009D12D6" w:rsidRDefault="009D12D6" w:rsidP="00A05628">
            <w:pPr>
              <w:rPr>
                <w:b/>
                <w:sz w:val="24"/>
              </w:rPr>
            </w:pPr>
          </w:p>
          <w:p w:rsidR="009D12D6" w:rsidRPr="00E808F3" w:rsidRDefault="009D12D6" w:rsidP="00A05628">
            <w:pPr>
              <w:rPr>
                <w:sz w:val="24"/>
              </w:rPr>
            </w:pPr>
          </w:p>
        </w:tc>
        <w:tc>
          <w:tcPr>
            <w:tcW w:w="5242" w:type="dxa"/>
            <w:gridSpan w:val="2"/>
            <w:tcBorders>
              <w:top w:val="nil"/>
              <w:left w:val="nil"/>
              <w:bottom w:val="nil"/>
              <w:right w:val="nil"/>
            </w:tcBorders>
          </w:tcPr>
          <w:p w:rsidR="009D12D6" w:rsidRPr="00E808F3" w:rsidRDefault="009D12D6" w:rsidP="00A05628">
            <w:pPr>
              <w:rPr>
                <w:sz w:val="24"/>
              </w:rPr>
            </w:pPr>
          </w:p>
        </w:tc>
      </w:tr>
      <w:tr w:rsidR="009D12D6" w:rsidRPr="00E808F3" w:rsidTr="00A05628">
        <w:tblPrEx>
          <w:tblCellMar>
            <w:left w:w="108" w:type="dxa"/>
            <w:right w:w="108" w:type="dxa"/>
          </w:tblCellMar>
        </w:tblPrEx>
        <w:trPr>
          <w:cantSplit/>
        </w:trPr>
        <w:tc>
          <w:tcPr>
            <w:tcW w:w="10207" w:type="dxa"/>
            <w:gridSpan w:val="3"/>
            <w:tcBorders>
              <w:top w:val="nil"/>
              <w:left w:val="nil"/>
              <w:bottom w:val="nil"/>
              <w:right w:val="nil"/>
            </w:tcBorders>
          </w:tcPr>
          <w:p w:rsidR="009D12D6" w:rsidRPr="00E808F3" w:rsidRDefault="009D12D6" w:rsidP="00A05628">
            <w:pPr>
              <w:rPr>
                <w:sz w:val="24"/>
              </w:rPr>
            </w:pPr>
            <w:r w:rsidRPr="00E808F3">
              <w:rPr>
                <w:b/>
                <w:sz w:val="24"/>
              </w:rPr>
              <w:t>Date issued:</w:t>
            </w:r>
            <w:r w:rsidRPr="00E808F3">
              <w:rPr>
                <w:sz w:val="24"/>
              </w:rPr>
              <w:tab/>
            </w:r>
            <w:r>
              <w:rPr>
                <w:sz w:val="24"/>
              </w:rPr>
              <w:tab/>
              <w:t>9 September 2012</w:t>
            </w:r>
          </w:p>
          <w:p w:rsidR="009D12D6" w:rsidRPr="00E808F3" w:rsidRDefault="009D12D6" w:rsidP="00A05628">
            <w:pPr>
              <w:rPr>
                <w:sz w:val="24"/>
              </w:rPr>
            </w:pPr>
            <w:r w:rsidRPr="00E808F3">
              <w:rPr>
                <w:b/>
                <w:sz w:val="24"/>
              </w:rPr>
              <w:t>Source:</w:t>
            </w:r>
            <w:r w:rsidRPr="00E808F3">
              <w:rPr>
                <w:sz w:val="24"/>
              </w:rPr>
              <w:t xml:space="preserve">  </w:t>
            </w:r>
            <w:r w:rsidRPr="00E808F3">
              <w:rPr>
                <w:sz w:val="24"/>
              </w:rPr>
              <w:tab/>
            </w:r>
            <w:r>
              <w:rPr>
                <w:sz w:val="24"/>
              </w:rPr>
              <w:tab/>
              <w:t>CPG PTA(2012)024 Annex 5</w:t>
            </w:r>
          </w:p>
          <w:p w:rsidR="009D12D6" w:rsidRPr="00E808F3" w:rsidRDefault="009D12D6" w:rsidP="00C50733">
            <w:pPr>
              <w:rPr>
                <w:sz w:val="24"/>
              </w:rPr>
            </w:pPr>
            <w:r w:rsidRPr="00E808F3">
              <w:rPr>
                <w:b/>
                <w:sz w:val="24"/>
              </w:rPr>
              <w:t>Subject:</w:t>
            </w:r>
            <w:r w:rsidRPr="00E808F3">
              <w:rPr>
                <w:sz w:val="24"/>
              </w:rPr>
              <w:t xml:space="preserve"> </w:t>
            </w:r>
            <w:r w:rsidRPr="00E808F3">
              <w:rPr>
                <w:sz w:val="24"/>
              </w:rPr>
              <w:tab/>
            </w:r>
            <w:r>
              <w:rPr>
                <w:sz w:val="24"/>
              </w:rPr>
              <w:tab/>
            </w:r>
            <w:r w:rsidRPr="003D750C">
              <w:rPr>
                <w:sz w:val="24"/>
              </w:rPr>
              <w:t xml:space="preserve">Draft </w:t>
            </w:r>
            <w:r>
              <w:rPr>
                <w:sz w:val="24"/>
              </w:rPr>
              <w:t xml:space="preserve">CEPT </w:t>
            </w:r>
            <w:r w:rsidRPr="003D750C">
              <w:rPr>
                <w:sz w:val="24"/>
              </w:rPr>
              <w:t>Brief for WRC-1</w:t>
            </w:r>
            <w:r>
              <w:rPr>
                <w:sz w:val="24"/>
              </w:rPr>
              <w:t>5 Agenda Item 1.11</w:t>
            </w:r>
          </w:p>
        </w:tc>
      </w:tr>
      <w:tr w:rsidR="009D12D6" w:rsidRPr="00E808F3" w:rsidTr="00A05628">
        <w:tblPrEx>
          <w:tblCellMar>
            <w:left w:w="108" w:type="dxa"/>
            <w:right w:w="108" w:type="dxa"/>
          </w:tblCellMar>
        </w:tblPrEx>
        <w:trPr>
          <w:cantSplit/>
        </w:trPr>
        <w:tc>
          <w:tcPr>
            <w:tcW w:w="10207" w:type="dxa"/>
            <w:gridSpan w:val="3"/>
            <w:tcBorders>
              <w:top w:val="nil"/>
              <w:left w:val="nil"/>
              <w:bottom w:val="nil"/>
              <w:right w:val="nil"/>
            </w:tcBorders>
          </w:tcPr>
          <w:p w:rsidR="009D12D6" w:rsidRPr="00E808F3" w:rsidRDefault="009D12D6" w:rsidP="00A05628">
            <w:pPr>
              <w:rPr>
                <w:b/>
                <w:sz w:val="24"/>
              </w:rPr>
            </w:pPr>
          </w:p>
        </w:tc>
      </w:tr>
    </w:tbl>
    <w:p w:rsidR="009D12D6" w:rsidRPr="0010769E" w:rsidRDefault="009D12D6" w:rsidP="00941FD2">
      <w:pPr>
        <w:rPr>
          <w:b/>
          <w:sz w:val="24"/>
        </w:rPr>
      </w:pPr>
    </w:p>
    <w:p w:rsidR="009D12D6" w:rsidRPr="0010769E" w:rsidRDefault="009D12D6" w:rsidP="008A54FC">
      <w:pPr>
        <w:jc w:val="center"/>
        <w:rPr>
          <w:b/>
          <w:sz w:val="24"/>
        </w:rPr>
      </w:pPr>
    </w:p>
    <w:p w:rsidR="009D12D6" w:rsidRPr="0010769E" w:rsidRDefault="009D12D6" w:rsidP="008A54FC">
      <w:pPr>
        <w:jc w:val="center"/>
        <w:rPr>
          <w:b/>
          <w:sz w:val="24"/>
        </w:rPr>
      </w:pPr>
    </w:p>
    <w:p w:rsidR="009D12D6" w:rsidRPr="0010769E" w:rsidRDefault="009D12D6" w:rsidP="008A54FC">
      <w:pPr>
        <w:jc w:val="center"/>
        <w:rPr>
          <w:b/>
          <w:sz w:val="24"/>
        </w:rPr>
      </w:pPr>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auto"/>
        </w:tblBorders>
        <w:tblLook w:val="00A0"/>
      </w:tblPr>
      <w:tblGrid>
        <w:gridCol w:w="9855"/>
      </w:tblGrid>
      <w:tr w:rsidR="009D12D6" w:rsidTr="005B364C">
        <w:tc>
          <w:tcPr>
            <w:tcW w:w="9855" w:type="dxa"/>
          </w:tcPr>
          <w:p w:rsidR="009D12D6" w:rsidRPr="00634AF1" w:rsidRDefault="009D12D6" w:rsidP="003D750C">
            <w:pPr>
              <w:jc w:val="both"/>
              <w:rPr>
                <w:b/>
                <w:sz w:val="24"/>
              </w:rPr>
            </w:pPr>
            <w:r w:rsidRPr="00634AF1">
              <w:rPr>
                <w:b/>
                <w:sz w:val="24"/>
              </w:rPr>
              <w:t>Summary</w:t>
            </w:r>
          </w:p>
          <w:p w:rsidR="009D12D6" w:rsidRPr="003D750C" w:rsidRDefault="009D12D6" w:rsidP="00345A8B">
            <w:pPr>
              <w:jc w:val="both"/>
              <w:rPr>
                <w:sz w:val="24"/>
              </w:rPr>
            </w:pPr>
            <w:bookmarkStart w:id="0" w:name="_GoBack"/>
            <w:bookmarkEnd w:id="0"/>
          </w:p>
        </w:tc>
      </w:tr>
      <w:tr w:rsidR="009D12D6" w:rsidTr="005B364C">
        <w:tc>
          <w:tcPr>
            <w:tcW w:w="9855" w:type="dxa"/>
          </w:tcPr>
          <w:p w:rsidR="009D12D6" w:rsidRPr="00634AF1" w:rsidRDefault="009D12D6" w:rsidP="003D750C">
            <w:pPr>
              <w:jc w:val="both"/>
              <w:rPr>
                <w:b/>
                <w:sz w:val="24"/>
              </w:rPr>
            </w:pPr>
            <w:r w:rsidRPr="00634AF1">
              <w:rPr>
                <w:b/>
                <w:sz w:val="24"/>
              </w:rPr>
              <w:t>Proposal</w:t>
            </w:r>
          </w:p>
          <w:p w:rsidR="009D12D6" w:rsidRDefault="009D12D6" w:rsidP="003D750C">
            <w:pPr>
              <w:jc w:val="both"/>
              <w:rPr>
                <w:sz w:val="24"/>
              </w:rPr>
            </w:pPr>
          </w:p>
          <w:p w:rsidR="009D12D6" w:rsidRDefault="009D12D6" w:rsidP="003D750C">
            <w:pPr>
              <w:jc w:val="both"/>
              <w:rPr>
                <w:sz w:val="24"/>
              </w:rPr>
            </w:pPr>
            <w:r>
              <w:rPr>
                <w:sz w:val="24"/>
              </w:rPr>
              <w:t>CPG15-2 is invited to consider and approve the attached Draft Brief on WRC-15 AI 1.11.</w:t>
            </w:r>
          </w:p>
          <w:p w:rsidR="009D12D6" w:rsidRPr="003D750C" w:rsidRDefault="009D12D6" w:rsidP="003D750C">
            <w:pPr>
              <w:jc w:val="both"/>
              <w:rPr>
                <w:sz w:val="24"/>
              </w:rPr>
            </w:pPr>
          </w:p>
        </w:tc>
      </w:tr>
      <w:tr w:rsidR="009D12D6" w:rsidTr="005B364C">
        <w:tc>
          <w:tcPr>
            <w:tcW w:w="9855" w:type="dxa"/>
          </w:tcPr>
          <w:p w:rsidR="009D12D6" w:rsidRPr="003D750C" w:rsidRDefault="009D12D6" w:rsidP="003D750C">
            <w:pPr>
              <w:jc w:val="both"/>
              <w:rPr>
                <w:sz w:val="24"/>
              </w:rPr>
            </w:pPr>
          </w:p>
        </w:tc>
      </w:tr>
    </w:tbl>
    <w:p w:rsidR="009D12D6" w:rsidRDefault="009D12D6" w:rsidP="008A54FC">
      <w:pPr>
        <w:jc w:val="center"/>
        <w:rPr>
          <w:b/>
          <w:sz w:val="24"/>
        </w:rPr>
      </w:pPr>
    </w:p>
    <w:p w:rsidR="009D12D6" w:rsidRDefault="009D12D6" w:rsidP="008A54FC">
      <w:pPr>
        <w:jc w:val="center"/>
        <w:rPr>
          <w:b/>
          <w:sz w:val="24"/>
        </w:rPr>
      </w:pPr>
    </w:p>
    <w:p w:rsidR="009D12D6" w:rsidRDefault="009D12D6" w:rsidP="008A54FC">
      <w:pPr>
        <w:jc w:val="center"/>
        <w:rPr>
          <w:b/>
          <w:sz w:val="24"/>
        </w:rPr>
      </w:pPr>
    </w:p>
    <w:p w:rsidR="009D12D6" w:rsidRDefault="009D12D6" w:rsidP="008A54FC">
      <w:pPr>
        <w:jc w:val="center"/>
        <w:rPr>
          <w:b/>
          <w:sz w:val="24"/>
        </w:rPr>
      </w:pPr>
    </w:p>
    <w:p w:rsidR="009D12D6" w:rsidRPr="0010769E" w:rsidRDefault="009D12D6" w:rsidP="008A54FC">
      <w:pPr>
        <w:jc w:val="center"/>
        <w:rPr>
          <w:b/>
          <w:sz w:val="24"/>
        </w:rPr>
      </w:pPr>
    </w:p>
    <w:p w:rsidR="009D12D6" w:rsidRDefault="009D12D6">
      <w:pPr>
        <w:rPr>
          <w:b/>
          <w:sz w:val="24"/>
        </w:rPr>
      </w:pPr>
      <w:r>
        <w:rPr>
          <w:b/>
          <w:sz w:val="24"/>
        </w:rPr>
        <w:br w:type="page"/>
      </w:r>
    </w:p>
    <w:p w:rsidR="009D12D6" w:rsidRPr="0010769E" w:rsidRDefault="009D12D6" w:rsidP="008A54FC">
      <w:pPr>
        <w:rPr>
          <w:b/>
          <w:sz w:val="24"/>
        </w:rPr>
      </w:pPr>
    </w:p>
    <w:p w:rsidR="009D12D6" w:rsidRPr="00183FE0" w:rsidRDefault="009D12D6" w:rsidP="008A54FC">
      <w:pPr>
        <w:pStyle w:val="Lastupdated"/>
        <w:rPr>
          <w:b/>
        </w:rPr>
      </w:pPr>
    </w:p>
    <w:p w:rsidR="009D12D6" w:rsidRDefault="009D12D6">
      <w:pPr>
        <w:rPr>
          <w:lang w:val="en-GB"/>
        </w:rPr>
        <w:sectPr w:rsidR="009D12D6">
          <w:headerReference w:type="even" r:id="rId7"/>
          <w:headerReference w:type="default" r:id="rId8"/>
          <w:footerReference w:type="even" r:id="rId9"/>
          <w:headerReference w:type="first" r:id="rId10"/>
          <w:footerReference w:type="first" r:id="rId11"/>
          <w:pgSz w:w="11907" w:h="16840" w:code="9"/>
          <w:pgMar w:top="1440" w:right="1134" w:bottom="1440" w:left="1134" w:header="709" w:footer="709" w:gutter="0"/>
          <w:cols w:space="708"/>
          <w:titlePg/>
          <w:docGrid w:linePitch="360"/>
        </w:sectPr>
      </w:pPr>
    </w:p>
    <w:p w:rsidR="009D12D6" w:rsidRDefault="009D12D6" w:rsidP="008A54FC">
      <w:pPr>
        <w:rPr>
          <w:b/>
          <w:color w:val="FFFFFF"/>
          <w:szCs w:val="20"/>
        </w:rPr>
      </w:pPr>
      <w:r>
        <w:rPr>
          <w:b/>
          <w:color w:val="FFFFFF"/>
          <w:szCs w:val="20"/>
        </w:rPr>
        <w:t>ABLE OF CONTENTS</w:t>
      </w:r>
    </w:p>
    <w:p w:rsidR="009D12D6" w:rsidRDefault="009D12D6" w:rsidP="008A54FC">
      <w:pPr>
        <w:rPr>
          <w:b/>
          <w:color w:val="FFFFFF"/>
          <w:szCs w:val="20"/>
        </w:rPr>
      </w:pPr>
    </w:p>
    <w:p w:rsidR="009D12D6" w:rsidRPr="00005CA4" w:rsidRDefault="009D12D6" w:rsidP="00634AF1">
      <w:pPr>
        <w:jc w:val="center"/>
        <w:rPr>
          <w:b/>
          <w:color w:val="C00000"/>
        </w:rPr>
      </w:pPr>
      <w:r w:rsidRPr="00005CA4">
        <w:rPr>
          <w:b/>
          <w:color w:val="C00000"/>
        </w:rPr>
        <w:t xml:space="preserve">DRAFT CEPT BRIEF ON AGENDA ITEM </w:t>
      </w:r>
      <w:r>
        <w:rPr>
          <w:b/>
          <w:color w:val="C00000"/>
        </w:rPr>
        <w:t>1.11</w:t>
      </w:r>
    </w:p>
    <w:p w:rsidR="009D12D6" w:rsidRPr="00345A8B" w:rsidRDefault="009D12D6" w:rsidP="0029448B">
      <w:pPr>
        <w:rPr>
          <w:b/>
        </w:rPr>
      </w:pPr>
    </w:p>
    <w:p w:rsidR="009D12D6" w:rsidRPr="005B5AE8" w:rsidRDefault="009D12D6" w:rsidP="005B5AE8">
      <w:pPr>
        <w:autoSpaceDE w:val="0"/>
        <w:autoSpaceDN w:val="0"/>
        <w:adjustRightInd w:val="0"/>
      </w:pPr>
      <w:r w:rsidRPr="00345A8B">
        <w:rPr>
          <w:b/>
        </w:rPr>
        <w:t>Agenda item 1.11:</w:t>
      </w:r>
      <w:r w:rsidRPr="00345A8B">
        <w:t xml:space="preserve"> </w:t>
      </w:r>
      <w:r w:rsidRPr="005B5AE8">
        <w:t>to consider a primary allocation for the Earth exploration-satellite service (Earth-to</w:t>
      </w:r>
      <w:r>
        <w:t>-</w:t>
      </w:r>
      <w:r w:rsidRPr="005B5AE8">
        <w:t xml:space="preserve">space) in the 7-8 GHz range, in accordance with Resolution </w:t>
      </w:r>
      <w:r>
        <w:rPr>
          <w:rFonts w:cs="Arial"/>
          <w:b/>
          <w:bCs/>
          <w:szCs w:val="20"/>
          <w:lang w:eastAsia="en-GB"/>
        </w:rPr>
        <w:t>650</w:t>
      </w:r>
      <w:r w:rsidRPr="005B5AE8">
        <w:rPr>
          <w:rFonts w:cs="Arial"/>
          <w:b/>
          <w:bCs/>
          <w:szCs w:val="20"/>
          <w:lang w:eastAsia="en-GB"/>
        </w:rPr>
        <w:t xml:space="preserve"> (WRC-12)</w:t>
      </w:r>
    </w:p>
    <w:p w:rsidR="009D12D6" w:rsidRDefault="009D12D6" w:rsidP="0029448B">
      <w:pPr>
        <w:pStyle w:val="Heading1"/>
      </w:pPr>
      <w:r>
        <w:t>ISSUE</w:t>
      </w:r>
    </w:p>
    <w:p w:rsidR="009D12D6" w:rsidRDefault="009D12D6" w:rsidP="00394A59">
      <w:pPr>
        <w:pStyle w:val="ECCParagraph"/>
        <w:rPr>
          <w:b/>
          <w:lang w:val="en-US"/>
        </w:rPr>
      </w:pPr>
      <w:r>
        <w:rPr>
          <w:lang w:val="en-US"/>
        </w:rPr>
        <w:t xml:space="preserve">This agenda item will consider a new primary allocation to the </w:t>
      </w:r>
      <w:r w:rsidRPr="001415E6">
        <w:rPr>
          <w:lang w:val="en-US"/>
        </w:rPr>
        <w:t>Earth exploration-satellite service (Earth-to-space) in the 7-8 GHz range</w:t>
      </w:r>
      <w:r>
        <w:rPr>
          <w:lang w:val="en-US"/>
        </w:rPr>
        <w:t xml:space="preserve"> in order to </w:t>
      </w:r>
      <w:r w:rsidRPr="001415E6">
        <w:rPr>
          <w:lang w:val="en-US"/>
        </w:rPr>
        <w:t>complement telemetry operations of Earth exploration-satellite service (space-to-Earth) in the 8 025-8 400 MHz band</w:t>
      </w:r>
      <w:r>
        <w:rPr>
          <w:lang w:val="en-US"/>
        </w:rPr>
        <w:t>.</w:t>
      </w:r>
      <w:r w:rsidRPr="00394A59">
        <w:rPr>
          <w:b/>
          <w:lang w:val="en-US"/>
        </w:rPr>
        <w:t xml:space="preserve"> </w:t>
      </w:r>
    </w:p>
    <w:p w:rsidR="009D12D6" w:rsidRDefault="009D12D6" w:rsidP="005B5AE8">
      <w:pPr>
        <w:pStyle w:val="ECCParagraph"/>
        <w:rPr>
          <w:lang w:val="en-US"/>
        </w:rPr>
      </w:pPr>
      <w:r w:rsidRPr="00DD6D30">
        <w:rPr>
          <w:b/>
          <w:lang w:val="en-US"/>
        </w:rPr>
        <w:t>Resolution 650 (WRC-12),</w:t>
      </w:r>
      <w:r>
        <w:rPr>
          <w:lang w:val="en-US"/>
        </w:rPr>
        <w:t xml:space="preserve"> “</w:t>
      </w:r>
      <w:r w:rsidRPr="005B5AE8">
        <w:rPr>
          <w:lang w:val="en-US"/>
        </w:rPr>
        <w:t>Allocation to the fixed-satellite service and the maritime</w:t>
      </w:r>
      <w:r>
        <w:rPr>
          <w:lang w:val="en-US"/>
        </w:rPr>
        <w:t>-</w:t>
      </w:r>
      <w:r w:rsidRPr="005B5AE8">
        <w:rPr>
          <w:lang w:val="en-US"/>
        </w:rPr>
        <w:t>mobile</w:t>
      </w:r>
      <w:r>
        <w:rPr>
          <w:lang w:val="en-US"/>
        </w:rPr>
        <w:t xml:space="preserve"> </w:t>
      </w:r>
      <w:r w:rsidRPr="005B5AE8">
        <w:rPr>
          <w:lang w:val="en-US"/>
        </w:rPr>
        <w:t>satellite service in the 7/8 GHz range</w:t>
      </w:r>
      <w:r>
        <w:rPr>
          <w:lang w:val="en-US"/>
        </w:rPr>
        <w:t>”, resolves to invite ITU-R:</w:t>
      </w:r>
    </w:p>
    <w:p w:rsidR="009D12D6" w:rsidRPr="00394A59" w:rsidRDefault="009D12D6" w:rsidP="00394A59">
      <w:pPr>
        <w:pStyle w:val="ECCNumberedBullets"/>
        <w:jc w:val="both"/>
      </w:pPr>
      <w:r w:rsidRPr="00394A59">
        <w:t>to study spectrum requirements in the 7-8 GHz range for EESS (Earth-to-space)</w:t>
      </w:r>
      <w:r>
        <w:t xml:space="preserve"> </w:t>
      </w:r>
      <w:r w:rsidRPr="00394A59">
        <w:t>telecommand operations in order to complement telemetry operations of EESS (space-to-Earth) in</w:t>
      </w:r>
      <w:r>
        <w:t xml:space="preserve"> </w:t>
      </w:r>
      <w:r w:rsidRPr="00394A59">
        <w:t>the 8 025-8 400 MHz band;</w:t>
      </w:r>
    </w:p>
    <w:p w:rsidR="009D12D6" w:rsidRPr="00394A59" w:rsidRDefault="009D12D6" w:rsidP="00394A59">
      <w:pPr>
        <w:pStyle w:val="ECCNumberedBullets"/>
        <w:rPr>
          <w:lang w:val="en-GB" w:eastAsia="en-GB"/>
        </w:rPr>
      </w:pPr>
      <w:r w:rsidRPr="00394A59">
        <w:rPr>
          <w:lang w:val="en-GB" w:eastAsia="en-GB"/>
        </w:rPr>
        <w:t>to conduct compatibility studies between EESS (Earth-to-space) systems and existing services, with priority to the band 7 145-7 235 MHz, and then within other portions of the 7-8 GHz range only if the band 7 145-7 235 MHz is found not to be suitable;</w:t>
      </w:r>
    </w:p>
    <w:p w:rsidR="009D12D6" w:rsidRDefault="009D12D6" w:rsidP="00394A59">
      <w:pPr>
        <w:pStyle w:val="ECCNumberedBullets"/>
      </w:pPr>
      <w:r w:rsidRPr="00394A59">
        <w:rPr>
          <w:lang w:val="en-GB" w:eastAsia="en-GB"/>
        </w:rPr>
        <w:t xml:space="preserve">to complete the studies as a matter of urgency, taking into account the present use of the allocated band, with a view to presenting, at the appropriate time, the technical basis for the work of </w:t>
      </w:r>
      <w:r>
        <w:rPr>
          <w:lang w:eastAsia="en-GB"/>
        </w:rPr>
        <w:t>WRC-15,</w:t>
      </w:r>
    </w:p>
    <w:p w:rsidR="009D12D6" w:rsidRDefault="009D12D6" w:rsidP="00005CA4">
      <w:pPr>
        <w:pStyle w:val="Heading1"/>
      </w:pPr>
      <w:r w:rsidRPr="00B35593">
        <w:t>Preliminary CEPT position</w:t>
      </w:r>
      <w:r>
        <w:t xml:space="preserve"> </w:t>
      </w:r>
    </w:p>
    <w:p w:rsidR="009D12D6" w:rsidRPr="002F7B8D" w:rsidRDefault="009D12D6" w:rsidP="00394A59">
      <w:pPr>
        <w:pStyle w:val="ECCParagraph"/>
        <w:rPr>
          <w:lang w:val="en-US"/>
        </w:rPr>
      </w:pPr>
      <w:r>
        <w:rPr>
          <w:lang w:val="en-US"/>
        </w:rPr>
        <w:t xml:space="preserve">CEPT supports the on-going studies with a view of having a primary allocation to EESS(E-s) in the 7-8 GHz range while ensuring an adequate protection </w:t>
      </w:r>
      <w:r w:rsidRPr="00B4047F">
        <w:rPr>
          <w:lang w:val="en-US"/>
        </w:rPr>
        <w:t xml:space="preserve">of other space </w:t>
      </w:r>
      <w:r>
        <w:rPr>
          <w:lang w:val="en-US"/>
        </w:rPr>
        <w:t>and terrestrial services in the 7-8 GHz band, and in particular of the Space Research S</w:t>
      </w:r>
      <w:r w:rsidRPr="00B4047F">
        <w:rPr>
          <w:lang w:val="en-US"/>
        </w:rPr>
        <w:t xml:space="preserve">ervices </w:t>
      </w:r>
      <w:r>
        <w:rPr>
          <w:lang w:val="en-US"/>
        </w:rPr>
        <w:t xml:space="preserve">(SRS) within </w:t>
      </w:r>
      <w:r w:rsidRPr="00B4047F">
        <w:rPr>
          <w:lang w:val="en-US"/>
        </w:rPr>
        <w:t>the band 7 145 – 7</w:t>
      </w:r>
      <w:r>
        <w:rPr>
          <w:lang w:val="en-US"/>
        </w:rPr>
        <w:t xml:space="preserve"> </w:t>
      </w:r>
      <w:r w:rsidRPr="00B4047F">
        <w:rPr>
          <w:lang w:val="en-US"/>
        </w:rPr>
        <w:t>235 MHz</w:t>
      </w:r>
      <w:r>
        <w:rPr>
          <w:lang w:val="en-US"/>
        </w:rPr>
        <w:t xml:space="preserve">. </w:t>
      </w:r>
      <w:r w:rsidRPr="00B4047F">
        <w:rPr>
          <w:lang w:val="en-US"/>
        </w:rPr>
        <w:t>Other frequencies in the range 7-8 GHz should be considered if sharing with SRS is not found to be feasible.</w:t>
      </w:r>
    </w:p>
    <w:p w:rsidR="009D12D6" w:rsidRDefault="009D12D6" w:rsidP="009744B4">
      <w:pPr>
        <w:pStyle w:val="Heading1"/>
      </w:pPr>
      <w:r w:rsidRPr="005F007F">
        <w:t xml:space="preserve">Background </w:t>
      </w:r>
    </w:p>
    <w:p w:rsidR="009D12D6" w:rsidRDefault="009D12D6" w:rsidP="008E6FC4">
      <w:pPr>
        <w:pStyle w:val="ECCParagraph"/>
      </w:pPr>
      <w:r>
        <w:t xml:space="preserve">The high concentration of satellites (several hundreds) using the band 2025-2110 MHz (E-to-s) and 2200-2290 MHz (s-to-E) for Tracking, Telemetry and Control (TT&amp;C) is making the satellites coordination in these bands rather difficult. </w:t>
      </w:r>
    </w:p>
    <w:p w:rsidR="009D12D6" w:rsidRDefault="009D12D6" w:rsidP="008E6FC4">
      <w:pPr>
        <w:pStyle w:val="ECCParagraph"/>
      </w:pPr>
      <w:r>
        <w:t xml:space="preserve">Among the various satellite services using this band, the </w:t>
      </w:r>
      <w:r w:rsidRPr="008E6FC4">
        <w:t xml:space="preserve">Earth exploration-satellite service </w:t>
      </w:r>
      <w:r>
        <w:t>(EESS) currently can only use the allocation at 2 025-2 110 MHz for the Earth-to-space transmissions, because no other Earth-to-space allocations are available at higher frequencies. The EESS (s-to-E) allocations at higher frequencies (8025-8400 MHz and 25.5-27 GHz) do not have any corresponding EESS (E-to-s) allocation and therefore in practice can be used only for payload data transmission and not for TT&amp;C.</w:t>
      </w:r>
    </w:p>
    <w:p w:rsidR="009D12D6" w:rsidRDefault="009D12D6" w:rsidP="008E6FC4">
      <w:pPr>
        <w:pStyle w:val="ECCParagraph"/>
      </w:pPr>
      <w:r w:rsidRPr="00867486">
        <w:t>An EESS (E-s) allocation in the 7-8 GHz range would allow its use for TT&amp;C in combination with the existing EESS (space-to-Earth, s-E) allocation in the band 8 025-8 400 MHz, thereby alleviating the congestion problem in S-Band, mitigating the frequency coordination problem, and eventually leading to a simplified on-board architecture and operational concept for future EESS missions.</w:t>
      </w:r>
      <w:r>
        <w:t xml:space="preserve"> By this way some EESS new missions that already have to use the 8025-8400 MHz band for payload downlink, may use this band these higher frequencies also for TT&amp;C. It is to be noted that only some EESS missions may be able to migrate to the higher frequency for TT&amp;C. And also these ones may still need using the bands 2025 – 2110 MHz and 2200-2290 MHz during LEOP (Launch and Early Orbital Phase) and in case of emergency. Nevertheless a new EESS allocation would allow limiting the use of these very congested bands at 2 GHz in a way similar to what is done for many telecommunications satellites.</w:t>
      </w:r>
    </w:p>
    <w:p w:rsidR="009D12D6" w:rsidRDefault="009D12D6" w:rsidP="008E6FC4">
      <w:pPr>
        <w:pStyle w:val="ECCParagraph"/>
      </w:pPr>
      <w:r>
        <w:t xml:space="preserve">The frequency range 7145-7235 MHz was identified at the WRC 12 as the most promising frequency range for this potential new EESS (E-to-s) allocation. This range is sufficiently close to the existing EESS (s-to-E) allocation at 8025-8400 MHz and has been shared for more than 15 years between the SRS (E-s) worldwide and furthermore with the Space Operation Service (E-s) in the Russian Federation, and systems of the Fixed/Mobile services with no specific sharing problems being reported. </w:t>
      </w:r>
    </w:p>
    <w:p w:rsidR="009D12D6" w:rsidRDefault="009D12D6" w:rsidP="00005CA4">
      <w:pPr>
        <w:pStyle w:val="ECCParagraph"/>
      </w:pPr>
      <w:r w:rsidRPr="00867486">
        <w:t>The technical characteristics of potential new EESS (E-s) systems operating in the 7-8 GHz frequency range would be similar to those of SRS near Earth systems, but with lower transmit power requirements and smaller antenna size limited to a diameter between 11 and 15 m.</w:t>
      </w:r>
      <w:r>
        <w:t xml:space="preserve"> Since the EESS (E-to-s) station will operate in a similar manner to the SRS stations but will require power levels typically much lower than the ones used by SRS in this band, sharing with terrestrial services in principle should be feasible. </w:t>
      </w:r>
    </w:p>
    <w:p w:rsidR="009D12D6" w:rsidRDefault="009D12D6" w:rsidP="00005CA4">
      <w:pPr>
        <w:pStyle w:val="ECCParagraph"/>
      </w:pPr>
      <w:r w:rsidRPr="004B1A6C">
        <w:t>Premilinary assessment on the bandwidth required for the EESS (E-s) in th</w:t>
      </w:r>
      <w:r>
        <w:t xml:space="preserve">e 7-8 GHz are presented in the document CPGPTA(2012)008. </w:t>
      </w:r>
    </w:p>
    <w:p w:rsidR="009D12D6" w:rsidRDefault="009D12D6" w:rsidP="004B1A6C">
      <w:pPr>
        <w:pStyle w:val="ECCParagraph"/>
      </w:pPr>
      <w:r>
        <w:t>Preliminary analysis of compatibility between the proposed EESS (E-s) and the existing SRS missions in the 7145-7235 MHz band are presented in the document CPGPTA(2012)007.</w:t>
      </w:r>
    </w:p>
    <w:p w:rsidR="009D12D6" w:rsidRDefault="009D12D6" w:rsidP="004B1A6C">
      <w:pPr>
        <w:pStyle w:val="ECCParagraph"/>
      </w:pPr>
      <w:r w:rsidRPr="004B1A6C">
        <w:t xml:space="preserve">Preliminary analysis of compatibility between the proposed EESS (E-s) and the existing </w:t>
      </w:r>
      <w:r>
        <w:t xml:space="preserve">FS stations </w:t>
      </w:r>
      <w:r w:rsidRPr="004B1A6C">
        <w:t>ar</w:t>
      </w:r>
      <w:r>
        <w:t>e presented in the document CPGPTA(2012)010.</w:t>
      </w:r>
    </w:p>
    <w:p w:rsidR="009D12D6" w:rsidRDefault="009D12D6" w:rsidP="009744B4">
      <w:pPr>
        <w:pStyle w:val="Heading1"/>
      </w:pPr>
      <w:r w:rsidRPr="005F007F">
        <w:t>List of relevant documents</w:t>
      </w:r>
    </w:p>
    <w:p w:rsidR="009D12D6" w:rsidRPr="005A1BC1" w:rsidRDefault="009D12D6" w:rsidP="002C29DB">
      <w:pPr>
        <w:pStyle w:val="ECCParagraph"/>
      </w:pPr>
      <w:r w:rsidRPr="005A1BC1">
        <w:t xml:space="preserve">Recommendation ITU-R </w:t>
      </w:r>
      <w:r w:rsidRPr="005A1BC1">
        <w:rPr>
          <w:b/>
        </w:rPr>
        <w:t>SA.609-2</w:t>
      </w:r>
      <w:r w:rsidRPr="005A1BC1">
        <w:t xml:space="preserve"> “Protection criteria for radiocommunication links for manned and unmanned near-Earth research satellites”</w:t>
      </w:r>
    </w:p>
    <w:p w:rsidR="009D12D6" w:rsidRPr="005A1BC1" w:rsidRDefault="009D12D6" w:rsidP="002C29DB">
      <w:pPr>
        <w:pStyle w:val="ECCParagraph"/>
      </w:pPr>
      <w:r w:rsidRPr="005A1BC1">
        <w:t xml:space="preserve">Recommendation ITU-R </w:t>
      </w:r>
      <w:r w:rsidRPr="005A1BC1">
        <w:rPr>
          <w:b/>
        </w:rPr>
        <w:t>SA.1157-1</w:t>
      </w:r>
      <w:r w:rsidRPr="005A1BC1">
        <w:t xml:space="preserve"> “Protection criteria for deep-space research”</w:t>
      </w:r>
    </w:p>
    <w:p w:rsidR="009D12D6" w:rsidRDefault="009D12D6" w:rsidP="002C29DB">
      <w:pPr>
        <w:pStyle w:val="ECCParagraph"/>
      </w:pPr>
      <w:r w:rsidRPr="005A1BC1">
        <w:t xml:space="preserve">Recommendation ITU-R </w:t>
      </w:r>
      <w:r w:rsidRPr="005A1BC1">
        <w:rPr>
          <w:b/>
        </w:rPr>
        <w:t>SA 514-3</w:t>
      </w:r>
      <w:r w:rsidRPr="005A1BC1">
        <w:t xml:space="preserve"> “Interference criteria for command and data transmission systems</w:t>
      </w:r>
      <w:r>
        <w:t xml:space="preserve"> operating in the Earth exploration satellite and meteorological satellite services”</w:t>
      </w:r>
    </w:p>
    <w:p w:rsidR="009D12D6" w:rsidRDefault="009D12D6" w:rsidP="009744B4">
      <w:pPr>
        <w:pStyle w:val="Heading1"/>
      </w:pPr>
      <w:r w:rsidRPr="005F007F">
        <w:t>Actions to be taken</w:t>
      </w:r>
    </w:p>
    <w:p w:rsidR="009D12D6" w:rsidRDefault="009D12D6" w:rsidP="004E17B6">
      <w:pPr>
        <w:pStyle w:val="ECCParBulleted"/>
        <w:numPr>
          <w:ilvl w:val="0"/>
          <w:numId w:val="9"/>
        </w:numPr>
      </w:pPr>
      <w:r>
        <w:t>To prepare proposals to ITU Working document towards a preliminary draft new Report or Recommendation. The following areas should be covered as part of this action:</w:t>
      </w:r>
    </w:p>
    <w:p w:rsidR="009D12D6" w:rsidRPr="0046236D" w:rsidRDefault="009D12D6" w:rsidP="002616B8">
      <w:pPr>
        <w:pStyle w:val="ECCParBulleted"/>
        <w:numPr>
          <w:ilvl w:val="1"/>
          <w:numId w:val="9"/>
        </w:numPr>
        <w:spacing w:before="60"/>
      </w:pPr>
      <w:r>
        <w:t>Determination of t</w:t>
      </w:r>
      <w:r w:rsidRPr="00E11D49">
        <w:t>echnical and operational characteristics of</w:t>
      </w:r>
      <w:r>
        <w:t xml:space="preserve"> </w:t>
      </w:r>
      <w:r w:rsidRPr="0046236D">
        <w:t>EESS earth stations transmitting in the band 7-8 GHz, with particular focus on the band 7 145-7  235 MHz</w:t>
      </w:r>
    </w:p>
    <w:p w:rsidR="009D12D6" w:rsidRDefault="009D12D6" w:rsidP="004E17B6">
      <w:pPr>
        <w:pStyle w:val="ECCParBulleted"/>
        <w:numPr>
          <w:ilvl w:val="1"/>
          <w:numId w:val="9"/>
        </w:numPr>
        <w:spacing w:before="60"/>
      </w:pPr>
      <w:r w:rsidRPr="004D3ADA">
        <w:t xml:space="preserve">Determination of technical and operational characteristics </w:t>
      </w:r>
      <w:r w:rsidRPr="0046236D">
        <w:t xml:space="preserve">FS, MS, FSS, </w:t>
      </w:r>
      <w:r w:rsidRPr="00A5211C">
        <w:t>SOS,</w:t>
      </w:r>
      <w:r>
        <w:t xml:space="preserve"> </w:t>
      </w:r>
      <w:r w:rsidRPr="0046236D">
        <w:t>METSAT and SRS systems operating in the band 7-8 GHz</w:t>
      </w:r>
    </w:p>
    <w:p w:rsidR="009D12D6" w:rsidRDefault="009D12D6" w:rsidP="004E17B6">
      <w:pPr>
        <w:pStyle w:val="ECCParBulleted"/>
        <w:numPr>
          <w:ilvl w:val="1"/>
          <w:numId w:val="9"/>
        </w:numPr>
        <w:spacing w:before="60"/>
      </w:pPr>
      <w:r>
        <w:t xml:space="preserve">Analyse the </w:t>
      </w:r>
      <w:r w:rsidRPr="00E11D49">
        <w:t>potential for interference to the existing and planned FS</w:t>
      </w:r>
      <w:r w:rsidRPr="00A5211C">
        <w:t>, SOS</w:t>
      </w:r>
      <w:r>
        <w:t>, MS, FSS, METSAT and SRS systems and determine the appropriate sharing criteria</w:t>
      </w:r>
    </w:p>
    <w:p w:rsidR="009D12D6" w:rsidRDefault="009D12D6" w:rsidP="004E17B6">
      <w:pPr>
        <w:pStyle w:val="ECCParBulleted"/>
        <w:numPr>
          <w:ilvl w:val="1"/>
          <w:numId w:val="9"/>
        </w:numPr>
        <w:spacing w:before="60"/>
      </w:pPr>
      <w:r>
        <w:t>Definition of spectrum requirements of new EESS systems</w:t>
      </w:r>
    </w:p>
    <w:p w:rsidR="009D12D6" w:rsidRDefault="009D12D6" w:rsidP="004E17B6">
      <w:pPr>
        <w:pStyle w:val="ECCParBulleted"/>
        <w:numPr>
          <w:ilvl w:val="1"/>
          <w:numId w:val="9"/>
        </w:numPr>
        <w:spacing w:before="60"/>
      </w:pPr>
      <w:r>
        <w:t xml:space="preserve">Examination of possible </w:t>
      </w:r>
      <w:r w:rsidRPr="00E11D49">
        <w:t xml:space="preserve">regulatory actions to satisfy the spectrum requirements </w:t>
      </w:r>
      <w:r>
        <w:t>of the new EESS systems</w:t>
      </w:r>
    </w:p>
    <w:p w:rsidR="009D12D6" w:rsidRDefault="009D12D6" w:rsidP="004E17B6">
      <w:pPr>
        <w:pStyle w:val="ECCParBulleted"/>
        <w:numPr>
          <w:ilvl w:val="1"/>
          <w:numId w:val="9"/>
        </w:numPr>
        <w:spacing w:before="60"/>
      </w:pPr>
      <w:r>
        <w:t>Analyse the potential for sharing between the EESS (E-s) and FSS (s-E) considering WRC15 AI 1.9.1 proposal for an allocation to the FSS (s-E) in the 7-8 GHz range once the FSS (s-E) parameters are defined. This parameters should come from ITU WP 4A documentation.</w:t>
      </w:r>
    </w:p>
    <w:p w:rsidR="009D12D6" w:rsidRDefault="009D12D6" w:rsidP="0046236D">
      <w:pPr>
        <w:pStyle w:val="ListParagraph"/>
      </w:pPr>
    </w:p>
    <w:p w:rsidR="009D12D6" w:rsidRDefault="009D12D6" w:rsidP="004E17B6">
      <w:pPr>
        <w:pStyle w:val="ECCParBulleted"/>
        <w:numPr>
          <w:ilvl w:val="0"/>
          <w:numId w:val="9"/>
        </w:numPr>
      </w:pPr>
      <w:r>
        <w:t xml:space="preserve">To prepare proposals to ECP </w:t>
      </w:r>
    </w:p>
    <w:p w:rsidR="009D12D6" w:rsidRDefault="009D12D6" w:rsidP="004E17B6">
      <w:pPr>
        <w:pStyle w:val="ECCParBulleted"/>
        <w:numPr>
          <w:ilvl w:val="0"/>
          <w:numId w:val="9"/>
        </w:numPr>
      </w:pPr>
      <w:r>
        <w:t>To prepare proposals to the draft CPM Report</w:t>
      </w:r>
    </w:p>
    <w:p w:rsidR="009D12D6" w:rsidRDefault="009D12D6" w:rsidP="009744B4">
      <w:pPr>
        <w:pStyle w:val="Heading1"/>
      </w:pPr>
      <w:r w:rsidRPr="002F7B8D">
        <w:t>Relevant information from outside CEPT (</w:t>
      </w:r>
      <w:r w:rsidRPr="002F7B8D">
        <w:rPr>
          <w:caps w:val="0"/>
        </w:rPr>
        <w:t>examples of these are below</w:t>
      </w:r>
      <w:r w:rsidRPr="002F7B8D">
        <w:t>)</w:t>
      </w:r>
    </w:p>
    <w:p w:rsidR="009D12D6" w:rsidRDefault="009D12D6" w:rsidP="009744B4">
      <w:pPr>
        <w:pStyle w:val="Heading2"/>
      </w:pPr>
      <w:r w:rsidRPr="009744B4">
        <w:t>European Union (</w:t>
      </w:r>
      <w:r w:rsidRPr="009744B4">
        <w:rPr>
          <w:caps w:val="0"/>
        </w:rPr>
        <w:t>date of proposal</w:t>
      </w:r>
      <w:r w:rsidRPr="009744B4">
        <w:t>)</w:t>
      </w:r>
    </w:p>
    <w:p w:rsidR="009D12D6" w:rsidRPr="0017055A" w:rsidRDefault="009D12D6" w:rsidP="0017055A">
      <w:pPr>
        <w:pStyle w:val="ECCParagraph"/>
        <w:rPr>
          <w:lang w:val="en-US"/>
        </w:rPr>
      </w:pPr>
    </w:p>
    <w:p w:rsidR="009D12D6" w:rsidRDefault="009D12D6" w:rsidP="009744B4">
      <w:pPr>
        <w:pStyle w:val="Heading2"/>
      </w:pPr>
      <w:r w:rsidRPr="002F7B8D">
        <w:t>Regional telecommunication organisations</w:t>
      </w:r>
      <w:r>
        <w:t xml:space="preserve">: </w:t>
      </w:r>
    </w:p>
    <w:p w:rsidR="009D12D6"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APT (date of proposal)</w:t>
      </w:r>
    </w:p>
    <w:p w:rsidR="009D12D6" w:rsidRPr="002F7B8D"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ATU (date of proposal)</w:t>
      </w:r>
    </w:p>
    <w:p w:rsidR="009D12D6" w:rsidRPr="002F7B8D"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Arab Group (date of proposal)</w:t>
      </w:r>
    </w:p>
    <w:p w:rsidR="009D12D6" w:rsidRPr="002F7B8D"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CITEL</w:t>
      </w:r>
      <w:r>
        <w:rPr>
          <w:lang w:val="en-US"/>
        </w:rPr>
        <w:t xml:space="preserve"> </w:t>
      </w:r>
      <w:r w:rsidRPr="002F7B8D">
        <w:rPr>
          <w:lang w:val="en-US"/>
        </w:rPr>
        <w:t>(date of proposal)</w:t>
      </w:r>
    </w:p>
    <w:p w:rsidR="009D12D6" w:rsidRPr="002F7B8D"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RCC (date of proposal)</w:t>
      </w:r>
    </w:p>
    <w:p w:rsidR="009D12D6" w:rsidRPr="009744B4" w:rsidRDefault="009D12D6" w:rsidP="009744B4">
      <w:pPr>
        <w:pStyle w:val="ECCParagraph"/>
        <w:rPr>
          <w:lang w:val="en-US"/>
        </w:rPr>
      </w:pPr>
    </w:p>
    <w:p w:rsidR="009D12D6" w:rsidRPr="002F7B8D" w:rsidRDefault="009D12D6" w:rsidP="00F735BC">
      <w:pPr>
        <w:pStyle w:val="Heading2"/>
      </w:pPr>
      <w:r w:rsidRPr="002F7B8D">
        <w:t>International organisations</w:t>
      </w:r>
    </w:p>
    <w:p w:rsidR="009D12D6"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IATA (date of proposal)</w:t>
      </w:r>
    </w:p>
    <w:p w:rsidR="009D12D6" w:rsidRPr="002F7B8D"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ICAO</w:t>
      </w:r>
      <w:r>
        <w:rPr>
          <w:lang w:val="en-US"/>
        </w:rPr>
        <w:t xml:space="preserve"> </w:t>
      </w:r>
      <w:r w:rsidRPr="006E671C">
        <w:rPr>
          <w:lang w:val="en-US"/>
        </w:rPr>
        <w:t>(date of proposal)</w:t>
      </w:r>
    </w:p>
    <w:p w:rsidR="009D12D6" w:rsidRPr="002F7B8D"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IMO</w:t>
      </w:r>
      <w:r>
        <w:rPr>
          <w:lang w:val="en-US"/>
        </w:rPr>
        <w:t xml:space="preserve"> </w:t>
      </w:r>
      <w:r w:rsidRPr="002F7B8D">
        <w:rPr>
          <w:lang w:val="en-US"/>
        </w:rPr>
        <w:t>(date of proposal)</w:t>
      </w:r>
    </w:p>
    <w:p w:rsidR="009D12D6" w:rsidRPr="002F7B8D"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NATO</w:t>
      </w:r>
      <w:r>
        <w:rPr>
          <w:lang w:val="en-US"/>
        </w:rPr>
        <w:t xml:space="preserve"> </w:t>
      </w:r>
      <w:r w:rsidRPr="002F7B8D">
        <w:rPr>
          <w:lang w:val="en-US"/>
        </w:rPr>
        <w:t>(date of proposal)</w:t>
      </w:r>
    </w:p>
    <w:p w:rsidR="009D12D6" w:rsidRPr="002F7B8D" w:rsidRDefault="009D12D6" w:rsidP="00F735BC">
      <w:pPr>
        <w:pStyle w:val="ECCParagraph"/>
        <w:rPr>
          <w:lang w:val="en-US"/>
        </w:rPr>
      </w:pPr>
    </w:p>
    <w:p w:rsidR="009D12D6" w:rsidRPr="00B4047F" w:rsidRDefault="009D12D6" w:rsidP="00F735BC">
      <w:pPr>
        <w:pStyle w:val="ECCParagraph"/>
        <w:rPr>
          <w:b/>
          <w:lang w:val="en-US"/>
        </w:rPr>
      </w:pPr>
      <w:r w:rsidRPr="00B4047F">
        <w:rPr>
          <w:b/>
          <w:lang w:val="en-US"/>
        </w:rPr>
        <w:t>SFCG (</w:t>
      </w:r>
      <w:r>
        <w:rPr>
          <w:b/>
          <w:lang w:val="en-US"/>
        </w:rPr>
        <w:t xml:space="preserve">June 2012 </w:t>
      </w:r>
      <w:r w:rsidRPr="00B4047F">
        <w:rPr>
          <w:b/>
          <w:lang w:val="en-US"/>
        </w:rPr>
        <w:t>)</w:t>
      </w:r>
    </w:p>
    <w:p w:rsidR="009D12D6" w:rsidRDefault="009D12D6" w:rsidP="00B4047F">
      <w:pPr>
        <w:pStyle w:val="ECCParagraph"/>
        <w:rPr>
          <w:lang w:val="en-US"/>
        </w:rPr>
      </w:pPr>
      <w:r w:rsidRPr="00B4047F">
        <w:rPr>
          <w:lang w:val="en-US"/>
        </w:rPr>
        <w:t xml:space="preserve">SFCG supports the primary allocation to EESS (E-s) in the 7-8 GHz range. For this allocation, suitable protection of other space science services will have to be ensured. </w:t>
      </w:r>
      <w:r>
        <w:rPr>
          <w:lang w:val="en-US"/>
        </w:rPr>
        <w:t>SFCG considers that wit</w:t>
      </w:r>
      <w:r w:rsidRPr="00B4047F">
        <w:rPr>
          <w:lang w:val="en-US"/>
        </w:rPr>
        <w:t>hin the band 7 145 – 7 235 MHz, the 7190-7235 MHz po</w:t>
      </w:r>
      <w:r>
        <w:rPr>
          <w:lang w:val="en-US"/>
        </w:rPr>
        <w:t>rtion is preferable considering:</w:t>
      </w:r>
    </w:p>
    <w:p w:rsidR="009D12D6" w:rsidRDefault="009D12D6" w:rsidP="00B4047F">
      <w:pPr>
        <w:pStyle w:val="ECCParagraph"/>
        <w:rPr>
          <w:lang w:val="en-US"/>
        </w:rPr>
      </w:pPr>
      <w:r>
        <w:rPr>
          <w:lang w:val="en-US"/>
        </w:rPr>
        <w:t xml:space="preserve">a) the </w:t>
      </w:r>
      <w:r w:rsidRPr="00B4047F">
        <w:rPr>
          <w:lang w:val="en-US"/>
        </w:rPr>
        <w:t>potential for harmful interference to SRS (deep space) spacecraft during their low-Earth-orbit critical events in the 7 145-7 190 MHz band,</w:t>
      </w:r>
      <w:r>
        <w:rPr>
          <w:lang w:val="en-US"/>
        </w:rPr>
        <w:t xml:space="preserve"> </w:t>
      </w:r>
    </w:p>
    <w:p w:rsidR="009D12D6" w:rsidRDefault="009D12D6" w:rsidP="00B4047F">
      <w:pPr>
        <w:pStyle w:val="ECCParagraph"/>
        <w:rPr>
          <w:lang w:val="en-US"/>
        </w:rPr>
      </w:pPr>
      <w:r>
        <w:rPr>
          <w:lang w:val="en-US"/>
        </w:rPr>
        <w:t xml:space="preserve">b) the </w:t>
      </w:r>
      <w:r w:rsidRPr="00B4047F">
        <w:rPr>
          <w:lang w:val="en-US"/>
        </w:rPr>
        <w:t>potential for damage to EESS spacecraft receivers from high power SRS (deep space) Earth-to-space links in the 7 145-7 190 MHz band, and</w:t>
      </w:r>
      <w:r>
        <w:rPr>
          <w:lang w:val="en-US"/>
        </w:rPr>
        <w:t xml:space="preserve"> </w:t>
      </w:r>
    </w:p>
    <w:p w:rsidR="009D12D6" w:rsidRPr="00B4047F" w:rsidRDefault="009D12D6" w:rsidP="00B4047F">
      <w:pPr>
        <w:pStyle w:val="ECCParagraph"/>
        <w:rPr>
          <w:lang w:val="en-US"/>
        </w:rPr>
      </w:pPr>
      <w:r>
        <w:rPr>
          <w:lang w:val="en-US"/>
        </w:rPr>
        <w:t xml:space="preserve">c) </w:t>
      </w:r>
      <w:r w:rsidRPr="00B4047F">
        <w:rPr>
          <w:lang w:val="en-US"/>
        </w:rPr>
        <w:t xml:space="preserve">the operating conditions of EESS missions </w:t>
      </w:r>
      <w:r>
        <w:rPr>
          <w:lang w:val="en-US"/>
        </w:rPr>
        <w:t xml:space="preserve">that </w:t>
      </w:r>
      <w:r w:rsidRPr="00B4047F">
        <w:rPr>
          <w:lang w:val="en-US"/>
        </w:rPr>
        <w:t>would be similar to those of SRS near Earth missions in the 7 190 – 7 235 MHz band.</w:t>
      </w:r>
    </w:p>
    <w:p w:rsidR="009D12D6" w:rsidRPr="002F7B8D" w:rsidRDefault="009D12D6" w:rsidP="00B4047F">
      <w:pPr>
        <w:pStyle w:val="ECCParagraph"/>
        <w:rPr>
          <w:lang w:val="en-US"/>
        </w:rPr>
      </w:pPr>
      <w:r>
        <w:rPr>
          <w:lang w:val="en-US"/>
        </w:rPr>
        <w:t>SFCG considers that o</w:t>
      </w:r>
      <w:r w:rsidRPr="00B4047F">
        <w:rPr>
          <w:lang w:val="en-US"/>
        </w:rPr>
        <w:t>ther frequencies in the range 7-8 GHz should be considered if sharing with SRS is not found to be feasible.</w:t>
      </w:r>
    </w:p>
    <w:p w:rsidR="009D12D6" w:rsidRPr="002F7B8D" w:rsidRDefault="009D12D6" w:rsidP="00F735BC">
      <w:pPr>
        <w:pStyle w:val="ECCParagraph"/>
        <w:rPr>
          <w:lang w:val="en-US"/>
        </w:rPr>
      </w:pPr>
      <w:r w:rsidRPr="002F7B8D">
        <w:rPr>
          <w:lang w:val="en-US"/>
        </w:rPr>
        <w:t>WMO and EUMETNET (date of proposal)</w:t>
      </w:r>
    </w:p>
    <w:p w:rsidR="009D12D6" w:rsidRPr="009744B4" w:rsidRDefault="009D12D6" w:rsidP="009744B4">
      <w:pPr>
        <w:pStyle w:val="ECCParagraph"/>
        <w:rPr>
          <w:lang w:val="en-US"/>
        </w:rPr>
      </w:pPr>
    </w:p>
    <w:p w:rsidR="009D12D6" w:rsidRPr="002F7B8D" w:rsidRDefault="009D12D6" w:rsidP="00F735BC">
      <w:pPr>
        <w:pStyle w:val="Heading2"/>
      </w:pPr>
      <w:r w:rsidRPr="002F7B8D">
        <w:t>Regional organisations</w:t>
      </w:r>
    </w:p>
    <w:p w:rsidR="009D12D6" w:rsidRDefault="009D12D6" w:rsidP="00F735BC">
      <w:pPr>
        <w:pStyle w:val="ECCParagraph"/>
        <w:rPr>
          <w:lang w:val="en-US"/>
        </w:rPr>
      </w:pPr>
    </w:p>
    <w:p w:rsidR="009D12D6" w:rsidRDefault="009D12D6" w:rsidP="00F735BC">
      <w:pPr>
        <w:pStyle w:val="ECCParagraph"/>
        <w:rPr>
          <w:lang w:val="en-US"/>
        </w:rPr>
      </w:pPr>
      <w:r w:rsidRPr="002F7B8D">
        <w:rPr>
          <w:lang w:val="en-US"/>
        </w:rPr>
        <w:t>ESA</w:t>
      </w:r>
      <w:r>
        <w:rPr>
          <w:lang w:val="en-US"/>
        </w:rPr>
        <w:t xml:space="preserve"> </w:t>
      </w:r>
      <w:r w:rsidRPr="002F7B8D">
        <w:rPr>
          <w:lang w:val="en-US"/>
        </w:rPr>
        <w:t>(date of proposal)</w:t>
      </w:r>
    </w:p>
    <w:p w:rsidR="009D12D6" w:rsidRPr="002F7B8D" w:rsidRDefault="009D12D6" w:rsidP="00F735BC">
      <w:pPr>
        <w:pStyle w:val="ECCParagraph"/>
        <w:rPr>
          <w:lang w:val="en-US"/>
        </w:rPr>
      </w:pPr>
    </w:p>
    <w:p w:rsidR="009D12D6" w:rsidRDefault="009D12D6" w:rsidP="00F735BC">
      <w:pPr>
        <w:pStyle w:val="ECCParagraph"/>
        <w:rPr>
          <w:lang w:val="en-US"/>
        </w:rPr>
      </w:pPr>
      <w:r w:rsidRPr="002F7B8D">
        <w:rPr>
          <w:lang w:val="en-US"/>
        </w:rPr>
        <w:t>EUMETNET (date of proposal)</w:t>
      </w:r>
    </w:p>
    <w:p w:rsidR="009D12D6" w:rsidRPr="002F7B8D"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Eurocontrol</w:t>
      </w:r>
      <w:r>
        <w:rPr>
          <w:lang w:val="en-US"/>
        </w:rPr>
        <w:t xml:space="preserve"> </w:t>
      </w:r>
      <w:r w:rsidRPr="002F7B8D">
        <w:rPr>
          <w:lang w:val="en-US"/>
        </w:rPr>
        <w:t>(date of proposal)</w:t>
      </w:r>
    </w:p>
    <w:p w:rsidR="009D12D6" w:rsidRPr="009744B4" w:rsidRDefault="009D12D6" w:rsidP="00005CA4">
      <w:pPr>
        <w:pStyle w:val="ECCParagraph"/>
        <w:rPr>
          <w:lang w:val="en-US"/>
        </w:rPr>
      </w:pPr>
    </w:p>
    <w:p w:rsidR="009D12D6" w:rsidRDefault="009D12D6" w:rsidP="00005CA4">
      <w:pPr>
        <w:pStyle w:val="ECCParagraph"/>
      </w:pPr>
    </w:p>
    <w:p w:rsidR="009D12D6" w:rsidRPr="000A672F" w:rsidRDefault="009D12D6" w:rsidP="008A54FC">
      <w:pPr>
        <w:pStyle w:val="ECCParagraph"/>
      </w:pPr>
    </w:p>
    <w:sectPr w:rsidR="009D12D6" w:rsidRPr="000A672F" w:rsidSect="008A54FC">
      <w:headerReference w:type="even" r:id="rId12"/>
      <w:headerReference w:type="default" r:id="rId13"/>
      <w:headerReference w:type="first" r:id="rId14"/>
      <w:pgSz w:w="11907" w:h="16840" w:code="9"/>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2D6" w:rsidRDefault="009D12D6" w:rsidP="008A54FC">
      <w:r>
        <w:separator/>
      </w:r>
    </w:p>
  </w:endnote>
  <w:endnote w:type="continuationSeparator" w:id="0">
    <w:p w:rsidR="009D12D6" w:rsidRDefault="009D12D6" w:rsidP="008A54F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Lucida Grande">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2D6" w:rsidRPr="00202205" w:rsidRDefault="009D12D6" w:rsidP="00202205">
    <w:pPr>
      <w:pStyle w:val="Footer"/>
      <w:rPr>
        <w:color w:val="7F7F7F"/>
      </w:rPr>
    </w:pPr>
    <w:fldSimple w:instr=" FILENAME  \* FirstCap  \* MERGEFORMAT ">
      <w:r>
        <w:rPr>
          <w:noProof/>
          <w:color w:val="7F7F7F"/>
        </w:rPr>
        <w:t>PT A(12)XXX_Draft CEPT Brief on AI 1 11_2012-08-27 rev 1.docx</w:t>
      </w:r>
    </w:fldSimple>
  </w:p>
  <w:p w:rsidR="009D12D6" w:rsidRDefault="009D12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2D6" w:rsidRPr="00202205" w:rsidRDefault="009D12D6">
    <w:pPr>
      <w:pStyle w:val="Footer"/>
      <w:rPr>
        <w:color w:val="7F7F7F"/>
      </w:rPr>
    </w:pPr>
    <w:fldSimple w:instr=" FILENAME  \* FirstCap  \* MERGEFORMAT ">
      <w:r>
        <w:rPr>
          <w:noProof/>
          <w:color w:val="7F7F7F"/>
        </w:rPr>
        <w:t>PT A(12)XXX_Draft CEPT Brief on AI 1 11_2012-08-27 rev 1.docx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2D6" w:rsidRDefault="009D12D6" w:rsidP="008A54FC">
      <w:r>
        <w:separator/>
      </w:r>
    </w:p>
  </w:footnote>
  <w:footnote w:type="continuationSeparator" w:id="0">
    <w:p w:rsidR="009D12D6" w:rsidRDefault="009D12D6" w:rsidP="008A54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2D6" w:rsidRPr="007C5F95" w:rsidRDefault="009D12D6">
    <w:pPr>
      <w:pStyle w:val="Header"/>
      <w:rPr>
        <w:b w:val="0"/>
        <w:lang w:val="da-DK"/>
      </w:rPr>
    </w:pPr>
    <w:r w:rsidRPr="007C5F95">
      <w:rPr>
        <w:b w:val="0"/>
        <w:lang w:val="da-DK"/>
      </w:rPr>
      <w:t>Draft ECC REPORT XXX</w:t>
    </w:r>
  </w:p>
  <w:p w:rsidR="009D12D6" w:rsidRPr="007C5F95" w:rsidRDefault="009D12D6">
    <w:pPr>
      <w:pStyle w:val="Header"/>
      <w:rPr>
        <w:szCs w:val="16"/>
        <w:lang w:val="da-DK"/>
      </w:rPr>
    </w:pPr>
    <w:r>
      <w:rPr>
        <w:szCs w:val="16"/>
        <w:lang w:val="da-DK"/>
      </w:rPr>
      <w:t xml:space="preserve">Page </w:t>
    </w:r>
    <w:fldSimple w:instr=" PAGE  \* Arabic  \* MERGEFORMAT ">
      <w:r w:rsidRPr="009B3F4B">
        <w:rPr>
          <w:noProof/>
          <w:szCs w:val="16"/>
          <w:lang w:val="da-DK"/>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2D6" w:rsidRPr="007C5F95" w:rsidRDefault="009D12D6" w:rsidP="008A54FC">
    <w:pPr>
      <w:pStyle w:val="Header"/>
      <w:jc w:val="right"/>
      <w:rPr>
        <w:b w:val="0"/>
        <w:lang w:val="da-DK"/>
      </w:rPr>
    </w:pPr>
    <w:r w:rsidRPr="007C5F95">
      <w:rPr>
        <w:b w:val="0"/>
        <w:lang w:val="da-DK"/>
      </w:rPr>
      <w:t>Draft ECC REPORT XXX</w:t>
    </w:r>
  </w:p>
  <w:p w:rsidR="009D12D6" w:rsidRPr="007C5F95" w:rsidRDefault="009D12D6" w:rsidP="008A54FC">
    <w:pPr>
      <w:pStyle w:val="Header"/>
      <w:jc w:val="right"/>
      <w:rPr>
        <w:szCs w:val="16"/>
        <w:lang w:val="da-DK"/>
      </w:rPr>
    </w:pPr>
    <w:r>
      <w:rPr>
        <w:szCs w:val="16"/>
        <w:lang w:val="da-DK"/>
      </w:rPr>
      <w:t xml:space="preserve">Page </w:t>
    </w:r>
    <w:fldSimple w:instr=" PAGE  \* Arabic  \* MERGEFORMAT ">
      <w:r w:rsidRPr="00F10F73">
        <w:rPr>
          <w:noProof/>
          <w:szCs w:val="16"/>
          <w:lang w:val="da-DK"/>
        </w:rPr>
        <w:t>5</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2D6" w:rsidRDefault="009D12D6">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2049" type="#_x0000_t75" alt="Description: ecc_logo" style="position:absolute;margin-left:450.2pt;margin-top:51.05pt;width:115.1pt;height:43pt;z-index:251658240;visibility:visible;mso-position-horizontal-relative:page;mso-position-vertical-relative:page">
          <v:imagedata r:id="rId1" o:title=""/>
          <w10:wrap anchorx="page" anchory="page"/>
        </v:shape>
      </w:pict>
    </w:r>
    <w:r>
      <w:rPr>
        <w:noProof/>
        <w:lang w:val="de-DE" w:eastAsia="de-DE"/>
      </w:rPr>
      <w:pict>
        <v:shape id="Picture 16" o:spid="_x0000_s2050" type="#_x0000_t75" alt="Description: cept logo" style="position:absolute;margin-left:45.1pt;margin-top:36pt;width:70pt;height:70pt;z-index:251657216;visibility:visible;mso-position-horizontal-relative:page;mso-position-vertical-relative:page">
          <v:imagedata r:id="rId2"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2D6" w:rsidRPr="005F4F01" w:rsidRDefault="009D12D6">
    <w:pPr>
      <w:pStyle w:val="Header"/>
      <w:rPr>
        <w:szCs w:val="16"/>
        <w:lang w:val="en-GB"/>
      </w:rPr>
    </w:pPr>
    <w:r w:rsidRPr="005F4F01">
      <w:rPr>
        <w:lang w:val="en-GB"/>
      </w:rPr>
      <w:t xml:space="preserve">Draft CEPT Brief on AI </w:t>
    </w:r>
    <w:r>
      <w:rPr>
        <w:lang w:val="en-GB"/>
      </w:rPr>
      <w:t>1.11</w:t>
    </w:r>
    <w:r w:rsidRPr="005F4F01">
      <w:rPr>
        <w:lang w:val="en-GB"/>
      </w:rPr>
      <w:t xml:space="preserve">  </w:t>
    </w:r>
    <w:r w:rsidRPr="005F4F01">
      <w:rPr>
        <w:szCs w:val="16"/>
        <w:lang w:val="en-GB"/>
      </w:rPr>
      <w:t xml:space="preserve">Page </w:t>
    </w:r>
    <w:fldSimple w:instr=" PAGE  \* Arabic  \* MERGEFORMAT ">
      <w:r w:rsidRPr="009B3F4B">
        <w:rPr>
          <w:noProof/>
          <w:szCs w:val="16"/>
          <w:lang w:val="en-GB"/>
        </w:rPr>
        <w:t>6</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2D6" w:rsidRPr="005F4F01" w:rsidRDefault="009D12D6" w:rsidP="008A54FC">
    <w:pPr>
      <w:pStyle w:val="Header"/>
      <w:jc w:val="right"/>
      <w:rPr>
        <w:szCs w:val="16"/>
        <w:lang w:val="en-GB"/>
      </w:rPr>
    </w:pPr>
    <w:r w:rsidRPr="005F4F01">
      <w:rPr>
        <w:lang w:val="en-GB"/>
      </w:rPr>
      <w:t xml:space="preserve">Draft CEPT Brief on AI </w:t>
    </w:r>
    <w:r>
      <w:rPr>
        <w:lang w:val="en-GB"/>
      </w:rPr>
      <w:t xml:space="preserve">1.11 </w:t>
    </w:r>
    <w:r w:rsidRPr="005F4F01">
      <w:rPr>
        <w:lang w:val="en-GB"/>
      </w:rPr>
      <w:t xml:space="preserve">-  </w:t>
    </w:r>
    <w:r w:rsidRPr="005F4F01">
      <w:rPr>
        <w:szCs w:val="16"/>
        <w:lang w:val="en-GB"/>
      </w:rPr>
      <w:t xml:space="preserve">Page </w:t>
    </w:r>
    <w:fldSimple w:instr=" PAGE  \* Arabic  \* MERGEFORMAT ">
      <w:r w:rsidRPr="009B3F4B">
        <w:rPr>
          <w:noProof/>
          <w:szCs w:val="16"/>
          <w:lang w:val="en-GB"/>
        </w:rPr>
        <w:t>5</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2D6" w:rsidRPr="001223D0" w:rsidRDefault="009D12D6" w:rsidP="008A54FC">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C3366"/>
    <w:multiLevelType w:val="hybridMultilevel"/>
    <w:tmpl w:val="30162C24"/>
    <w:lvl w:ilvl="0" w:tplc="2130875A">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20A87A02"/>
    <w:multiLevelType w:val="hybridMultilevel"/>
    <w:tmpl w:val="F71A6AE8"/>
    <w:lvl w:ilvl="0" w:tplc="BCA6B060">
      <w:start w:val="1"/>
      <w:numFmt w:val="decimal"/>
      <w:pStyle w:val="ECCParBulleted"/>
      <w:lvlText w:val="%1."/>
      <w:lvlJc w:val="left"/>
      <w:pPr>
        <w:tabs>
          <w:tab w:val="num" w:pos="340"/>
        </w:tabs>
        <w:ind w:left="340" w:hanging="340"/>
      </w:pPr>
      <w:rPr>
        <w:rFonts w:ascii="Arial" w:eastAsia="Times New Roman" w:hAnsi="Arial" w:cs="Times New Roman"/>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3">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5">
    <w:nsid w:val="3D163F7A"/>
    <w:multiLevelType w:val="multilevel"/>
    <w:tmpl w:val="029C60C0"/>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1">
    <w:nsid w:val="51D1107B"/>
    <w:multiLevelType w:val="hybridMultilevel"/>
    <w:tmpl w:val="6A1E6938"/>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3">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4">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5">
    <w:nsid w:val="66E36C84"/>
    <w:multiLevelType w:val="multilevel"/>
    <w:tmpl w:val="FCEC7FBC"/>
    <w:numStyleLink w:val="ECCBullets"/>
  </w:abstractNum>
  <w:abstractNum w:abstractNumId="16">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
  </w:num>
  <w:num w:numId="2">
    <w:abstractNumId w:val="5"/>
  </w:num>
  <w:num w:numId="3">
    <w:abstractNumId w:val="17"/>
  </w:num>
  <w:num w:numId="4">
    <w:abstractNumId w:val="9"/>
  </w:num>
  <w:num w:numId="5">
    <w:abstractNumId w:val="3"/>
  </w:num>
  <w:num w:numId="6">
    <w:abstractNumId w:val="7"/>
  </w:num>
  <w:num w:numId="7">
    <w:abstractNumId w:val="7"/>
    <w:lvlOverride w:ilvl="0">
      <w:startOverride w:val="1"/>
    </w:lvlOverride>
  </w:num>
  <w:num w:numId="8">
    <w:abstractNumId w:val="1"/>
  </w:num>
  <w:num w:numId="9">
    <w:abstractNumId w:val="15"/>
  </w:num>
  <w:num w:numId="10">
    <w:abstractNumId w:val="13"/>
  </w:num>
  <w:num w:numId="11">
    <w:abstractNumId w:val="8"/>
  </w:num>
  <w:num w:numId="12">
    <w:abstractNumId w:val="4"/>
  </w:num>
  <w:num w:numId="13">
    <w:abstractNumId w:val="14"/>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6"/>
  </w:num>
  <w:num w:numId="20">
    <w:abstractNumId w:val="0"/>
  </w:num>
  <w:num w:numId="21">
    <w:abstractNumId w:val="11"/>
  </w:num>
  <w:num w:numId="22">
    <w:abstractNumId w:val="2"/>
  </w:num>
  <w:num w:numId="23">
    <w:abstractNumId w:val="15"/>
  </w:num>
  <w:num w:numId="24">
    <w:abstractNumId w:val="2"/>
  </w:num>
  <w:num w:numId="25">
    <w:abstractNumId w:val="2"/>
  </w:num>
  <w:num w:numId="26">
    <w:abstractNumId w:val="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defaultTabStop w:val="720"/>
  <w:hyphenationZone w:val="425"/>
  <w:evenAndOddHeader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79CB"/>
    <w:rsid w:val="000051CA"/>
    <w:rsid w:val="00005CA4"/>
    <w:rsid w:val="00067793"/>
    <w:rsid w:val="000757DB"/>
    <w:rsid w:val="00082DD7"/>
    <w:rsid w:val="00084B91"/>
    <w:rsid w:val="000A672F"/>
    <w:rsid w:val="000B09DE"/>
    <w:rsid w:val="000C028F"/>
    <w:rsid w:val="000C3CC9"/>
    <w:rsid w:val="000E42F5"/>
    <w:rsid w:val="0010769E"/>
    <w:rsid w:val="001223D0"/>
    <w:rsid w:val="001415E6"/>
    <w:rsid w:val="0017055A"/>
    <w:rsid w:val="00183FE0"/>
    <w:rsid w:val="001E3E98"/>
    <w:rsid w:val="00202205"/>
    <w:rsid w:val="0021305E"/>
    <w:rsid w:val="002616B8"/>
    <w:rsid w:val="00274F84"/>
    <w:rsid w:val="00286D73"/>
    <w:rsid w:val="002921AA"/>
    <w:rsid w:val="002930E9"/>
    <w:rsid w:val="0029448B"/>
    <w:rsid w:val="002C29DB"/>
    <w:rsid w:val="002F5286"/>
    <w:rsid w:val="002F7B8D"/>
    <w:rsid w:val="00307489"/>
    <w:rsid w:val="00313DDC"/>
    <w:rsid w:val="00345A8B"/>
    <w:rsid w:val="00394A59"/>
    <w:rsid w:val="003D750C"/>
    <w:rsid w:val="004110CA"/>
    <w:rsid w:val="0046236D"/>
    <w:rsid w:val="004B1A6C"/>
    <w:rsid w:val="004D3ADA"/>
    <w:rsid w:val="004E17B6"/>
    <w:rsid w:val="004F359D"/>
    <w:rsid w:val="0051112D"/>
    <w:rsid w:val="00550D79"/>
    <w:rsid w:val="00557B5A"/>
    <w:rsid w:val="00594186"/>
    <w:rsid w:val="005A1BC1"/>
    <w:rsid w:val="005B364C"/>
    <w:rsid w:val="005B5AE8"/>
    <w:rsid w:val="005B61E8"/>
    <w:rsid w:val="005C10EB"/>
    <w:rsid w:val="005F007F"/>
    <w:rsid w:val="005F4F01"/>
    <w:rsid w:val="006044D4"/>
    <w:rsid w:val="00634AF1"/>
    <w:rsid w:val="00652944"/>
    <w:rsid w:val="006A3377"/>
    <w:rsid w:val="006E671C"/>
    <w:rsid w:val="00716704"/>
    <w:rsid w:val="00734A4F"/>
    <w:rsid w:val="00763BA3"/>
    <w:rsid w:val="00767BB2"/>
    <w:rsid w:val="00780376"/>
    <w:rsid w:val="00797D4C"/>
    <w:rsid w:val="007C5F95"/>
    <w:rsid w:val="007D7BAE"/>
    <w:rsid w:val="00861D8D"/>
    <w:rsid w:val="00867486"/>
    <w:rsid w:val="00894699"/>
    <w:rsid w:val="008A54FC"/>
    <w:rsid w:val="008B70CD"/>
    <w:rsid w:val="008E1EE6"/>
    <w:rsid w:val="008E6FC4"/>
    <w:rsid w:val="008F6CDE"/>
    <w:rsid w:val="00941FD2"/>
    <w:rsid w:val="009744B4"/>
    <w:rsid w:val="00980AFF"/>
    <w:rsid w:val="0098164B"/>
    <w:rsid w:val="009828CD"/>
    <w:rsid w:val="009B3F4B"/>
    <w:rsid w:val="009D12D6"/>
    <w:rsid w:val="009E47EB"/>
    <w:rsid w:val="00A01BEC"/>
    <w:rsid w:val="00A05628"/>
    <w:rsid w:val="00A076B5"/>
    <w:rsid w:val="00A5211C"/>
    <w:rsid w:val="00A95ACB"/>
    <w:rsid w:val="00AA086A"/>
    <w:rsid w:val="00B05F23"/>
    <w:rsid w:val="00B25463"/>
    <w:rsid w:val="00B30D3B"/>
    <w:rsid w:val="00B35593"/>
    <w:rsid w:val="00B4047F"/>
    <w:rsid w:val="00B432D4"/>
    <w:rsid w:val="00B62EC8"/>
    <w:rsid w:val="00B73D08"/>
    <w:rsid w:val="00BC2BA5"/>
    <w:rsid w:val="00C50733"/>
    <w:rsid w:val="00D079CB"/>
    <w:rsid w:val="00D7360D"/>
    <w:rsid w:val="00DA0D1D"/>
    <w:rsid w:val="00DB7E4F"/>
    <w:rsid w:val="00DD057B"/>
    <w:rsid w:val="00DD6D30"/>
    <w:rsid w:val="00DF2C67"/>
    <w:rsid w:val="00E11D49"/>
    <w:rsid w:val="00E16B9A"/>
    <w:rsid w:val="00E43460"/>
    <w:rsid w:val="00E53A65"/>
    <w:rsid w:val="00E56CDC"/>
    <w:rsid w:val="00E71AE7"/>
    <w:rsid w:val="00E808F3"/>
    <w:rsid w:val="00EA6088"/>
    <w:rsid w:val="00ED1A74"/>
    <w:rsid w:val="00F10F73"/>
    <w:rsid w:val="00F65929"/>
    <w:rsid w:val="00F66FE6"/>
    <w:rsid w:val="00F735BC"/>
    <w:rsid w:val="00F75E74"/>
    <w:rsid w:val="00F7783A"/>
    <w:rsid w:val="00F809A7"/>
    <w:rsid w:val="00F93115"/>
    <w:rsid w:val="00F96759"/>
    <w:rsid w:val="00FD2538"/>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0"/>
      <w:szCs w:val="24"/>
      <w:lang w:val="en-US" w:eastAsia="en-US"/>
    </w:rPr>
  </w:style>
  <w:style w:type="paragraph" w:styleId="Heading1">
    <w:name w:val="heading 1"/>
    <w:aliases w:val="ECC Heading 1"/>
    <w:basedOn w:val="Normal"/>
    <w:next w:val="ECCParagraph"/>
    <w:link w:val="Heading1Char"/>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
    <w:rsid w:val="007722D0"/>
    <w:rPr>
      <w:rFonts w:asciiTheme="majorHAnsi" w:eastAsiaTheme="majorEastAsia" w:hAnsiTheme="majorHAnsi" w:cstheme="majorBidi"/>
      <w:b/>
      <w:bCs/>
      <w:kern w:val="32"/>
      <w:sz w:val="32"/>
      <w:szCs w:val="32"/>
      <w:lang w:val="en-US" w:eastAsia="en-US"/>
    </w:rPr>
  </w:style>
  <w:style w:type="character" w:customStyle="1" w:styleId="Heading2Char">
    <w:name w:val="Heading 2 Char"/>
    <w:aliases w:val="ECC Heading 2 Char"/>
    <w:basedOn w:val="DefaultParagraphFont"/>
    <w:link w:val="Heading2"/>
    <w:uiPriority w:val="9"/>
    <w:semiHidden/>
    <w:rsid w:val="007722D0"/>
    <w:rPr>
      <w:rFonts w:asciiTheme="majorHAnsi" w:eastAsiaTheme="majorEastAsia" w:hAnsiTheme="majorHAnsi" w:cstheme="majorBidi"/>
      <w:b/>
      <w:bCs/>
      <w:i/>
      <w:iCs/>
      <w:sz w:val="28"/>
      <w:szCs w:val="28"/>
      <w:lang w:val="en-US" w:eastAsia="en-US"/>
    </w:rPr>
  </w:style>
  <w:style w:type="character" w:customStyle="1" w:styleId="Heading3Char">
    <w:name w:val="Heading 3 Char"/>
    <w:aliases w:val="ECC Heading 3 Char"/>
    <w:basedOn w:val="DefaultParagraphFont"/>
    <w:link w:val="Heading3"/>
    <w:uiPriority w:val="9"/>
    <w:semiHidden/>
    <w:rsid w:val="007722D0"/>
    <w:rPr>
      <w:rFonts w:asciiTheme="majorHAnsi" w:eastAsiaTheme="majorEastAsia" w:hAnsiTheme="majorHAnsi" w:cstheme="majorBidi"/>
      <w:b/>
      <w:bCs/>
      <w:sz w:val="26"/>
      <w:szCs w:val="26"/>
      <w:lang w:val="en-US" w:eastAsia="en-US"/>
    </w:rPr>
  </w:style>
  <w:style w:type="character" w:customStyle="1" w:styleId="Heading4Char">
    <w:name w:val="Heading 4 Char"/>
    <w:aliases w:val="ECC Heading 4 Char"/>
    <w:basedOn w:val="DefaultParagraphFont"/>
    <w:link w:val="Heading4"/>
    <w:uiPriority w:val="9"/>
    <w:semiHidden/>
    <w:rsid w:val="007722D0"/>
    <w:rPr>
      <w:rFonts w:asciiTheme="minorHAnsi" w:eastAsiaTheme="minorEastAsia" w:hAnsiTheme="minorHAnsi" w:cstheme="minorBidi"/>
      <w:b/>
      <w:bCs/>
      <w:sz w:val="28"/>
      <w:szCs w:val="28"/>
      <w:lang w:val="en-US" w:eastAsia="en-US"/>
    </w:rPr>
  </w:style>
  <w:style w:type="character" w:customStyle="1" w:styleId="Heading5Char">
    <w:name w:val="Heading 5 Char"/>
    <w:basedOn w:val="DefaultParagraphFont"/>
    <w:link w:val="Heading5"/>
    <w:uiPriority w:val="9"/>
    <w:semiHidden/>
    <w:rsid w:val="007722D0"/>
    <w:rPr>
      <w:rFonts w:asciiTheme="minorHAnsi" w:eastAsiaTheme="minorEastAsia" w:hAnsiTheme="minorHAnsi" w:cstheme="minorBidi"/>
      <w:b/>
      <w:bCs/>
      <w:i/>
      <w:iCs/>
      <w:sz w:val="26"/>
      <w:szCs w:val="26"/>
      <w:lang w:val="en-US" w:eastAsia="en-US"/>
    </w:rPr>
  </w:style>
  <w:style w:type="character" w:customStyle="1" w:styleId="Heading6Char">
    <w:name w:val="Heading 6 Char"/>
    <w:basedOn w:val="DefaultParagraphFont"/>
    <w:link w:val="Heading6"/>
    <w:uiPriority w:val="9"/>
    <w:semiHidden/>
    <w:rsid w:val="007722D0"/>
    <w:rPr>
      <w:rFonts w:asciiTheme="minorHAnsi" w:eastAsiaTheme="minorEastAsia" w:hAnsiTheme="minorHAnsi" w:cstheme="minorBidi"/>
      <w:b/>
      <w:bCs/>
      <w:lang w:val="en-US" w:eastAsia="en-US"/>
    </w:rPr>
  </w:style>
  <w:style w:type="character" w:customStyle="1" w:styleId="Heading7Char">
    <w:name w:val="Heading 7 Char"/>
    <w:basedOn w:val="DefaultParagraphFont"/>
    <w:link w:val="Heading7"/>
    <w:uiPriority w:val="9"/>
    <w:semiHidden/>
    <w:rsid w:val="007722D0"/>
    <w:rPr>
      <w:rFonts w:asciiTheme="minorHAnsi" w:eastAsiaTheme="minorEastAsia" w:hAnsiTheme="minorHAnsi" w:cstheme="minorBidi"/>
      <w:sz w:val="24"/>
      <w:szCs w:val="24"/>
      <w:lang w:val="en-US" w:eastAsia="en-US"/>
    </w:rPr>
  </w:style>
  <w:style w:type="character" w:customStyle="1" w:styleId="Heading8Char">
    <w:name w:val="Heading 8 Char"/>
    <w:basedOn w:val="DefaultParagraphFont"/>
    <w:link w:val="Heading8"/>
    <w:uiPriority w:val="9"/>
    <w:semiHidden/>
    <w:rsid w:val="007722D0"/>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7722D0"/>
    <w:rPr>
      <w:rFonts w:asciiTheme="majorHAnsi" w:eastAsiaTheme="majorEastAsia" w:hAnsiTheme="majorHAnsi" w:cstheme="majorBidi"/>
      <w:lang w:val="en-US" w:eastAsia="en-US"/>
    </w:rPr>
  </w:style>
  <w:style w:type="paragraph" w:customStyle="1" w:styleId="ECCParagraph">
    <w:name w:val="ECC Paragraph"/>
    <w:basedOn w:val="Normal"/>
    <w:uiPriority w:val="99"/>
    <w:pPr>
      <w:spacing w:after="240"/>
      <w:jc w:val="both"/>
    </w:pPr>
    <w:rPr>
      <w:lang w:val="en-GB"/>
    </w:rPr>
  </w:style>
  <w:style w:type="paragraph" w:customStyle="1" w:styleId="ECCParBulleted">
    <w:name w:val="ECC Par Bulleted"/>
    <w:basedOn w:val="ECCParagraph"/>
    <w:uiPriority w:val="99"/>
    <w:pPr>
      <w:numPr>
        <w:numId w:val="1"/>
      </w:numPr>
      <w:spacing w:after="0"/>
    </w:pPr>
  </w:style>
  <w:style w:type="paragraph" w:styleId="Header">
    <w:name w:val="header"/>
    <w:basedOn w:val="Normal"/>
    <w:link w:val="HeaderChar"/>
    <w:uiPriority w:val="99"/>
    <w:semiHidden/>
    <w:pPr>
      <w:tabs>
        <w:tab w:val="center" w:pos="4320"/>
        <w:tab w:val="right" w:pos="8640"/>
      </w:tabs>
    </w:pPr>
    <w:rPr>
      <w:b/>
      <w:sz w:val="16"/>
    </w:rPr>
  </w:style>
  <w:style w:type="character" w:customStyle="1" w:styleId="HeaderChar">
    <w:name w:val="Header Char"/>
    <w:basedOn w:val="DefaultParagraphFont"/>
    <w:link w:val="Header"/>
    <w:uiPriority w:val="99"/>
    <w:semiHidden/>
    <w:rsid w:val="007722D0"/>
    <w:rPr>
      <w:rFonts w:ascii="Arial" w:hAnsi="Arial"/>
      <w:sz w:val="20"/>
      <w:szCs w:val="24"/>
      <w:lang w:val="en-US" w:eastAsia="en-US"/>
    </w:rPr>
  </w:style>
  <w:style w:type="paragraph" w:styleId="Footer">
    <w:name w:val="footer"/>
    <w:basedOn w:val="Normal"/>
    <w:link w:val="FooterChar"/>
    <w:uiPriority w:val="99"/>
    <w:semiHidden/>
    <w:pPr>
      <w:tabs>
        <w:tab w:val="center" w:pos="4320"/>
        <w:tab w:val="right" w:pos="8640"/>
      </w:tabs>
    </w:pPr>
  </w:style>
  <w:style w:type="character" w:customStyle="1" w:styleId="FooterChar">
    <w:name w:val="Footer Char"/>
    <w:basedOn w:val="DefaultParagraphFont"/>
    <w:link w:val="Footer"/>
    <w:uiPriority w:val="99"/>
    <w:semiHidden/>
    <w:locked/>
    <w:rsid w:val="00202205"/>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pPr>
      <w:tabs>
        <w:tab w:val="left" w:pos="360"/>
        <w:tab w:val="right" w:leader="dot" w:pos="9629"/>
      </w:tabs>
      <w:spacing w:before="240"/>
    </w:pPr>
    <w:rPr>
      <w:b/>
      <w:caps/>
    </w:rPr>
  </w:style>
  <w:style w:type="character" w:styleId="Hyperlink">
    <w:name w:val="Hyperlink"/>
    <w:basedOn w:val="DefaultParagraphFont"/>
    <w:uiPriority w:val="99"/>
    <w:rPr>
      <w:rFonts w:cs="Times New Roman"/>
      <w:color w:val="0000FF"/>
      <w:u w:val="single"/>
    </w:rPr>
  </w:style>
  <w:style w:type="paragraph" w:styleId="TOC2">
    <w:name w:val="toc 2"/>
    <w:basedOn w:val="Normal"/>
    <w:next w:val="Normal"/>
    <w:autoRedefine/>
    <w:uiPriority w:val="99"/>
    <w:pPr>
      <w:tabs>
        <w:tab w:val="left" w:pos="900"/>
        <w:tab w:val="right" w:leader="dot" w:pos="9629"/>
      </w:tabs>
      <w:ind w:left="360"/>
    </w:pPr>
  </w:style>
  <w:style w:type="paragraph" w:styleId="TOC3">
    <w:name w:val="toc 3"/>
    <w:basedOn w:val="Normal"/>
    <w:next w:val="Normal"/>
    <w:autoRedefine/>
    <w:uiPriority w:val="99"/>
    <w:pPr>
      <w:tabs>
        <w:tab w:val="left" w:pos="1440"/>
        <w:tab w:val="right" w:leader="dot" w:pos="9629"/>
      </w:tabs>
      <w:ind w:left="900"/>
    </w:pPr>
  </w:style>
  <w:style w:type="paragraph" w:styleId="TOC4">
    <w:name w:val="toc 4"/>
    <w:basedOn w:val="Normal"/>
    <w:next w:val="Normal"/>
    <w:autoRedefine/>
    <w:uiPriority w:val="99"/>
    <w:pPr>
      <w:tabs>
        <w:tab w:val="left" w:pos="2340"/>
        <w:tab w:val="right" w:leader="dot" w:pos="9629"/>
      </w:tabs>
      <w:ind w:left="1440"/>
    </w:pPr>
    <w:rPr>
      <w:i/>
    </w:rPr>
  </w:style>
  <w:style w:type="table" w:styleId="TableGrid">
    <w:name w:val="Table Grid"/>
    <w:basedOn w:val="TableNormal"/>
    <w:uiPriority w:val="99"/>
    <w:semiHidden/>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pPr>
      <w:numPr>
        <w:numId w:val="3"/>
      </w:numPr>
      <w:spacing w:before="360" w:after="240"/>
    </w:pPr>
  </w:style>
  <w:style w:type="paragraph" w:customStyle="1" w:styleId="ECCFootnote">
    <w:name w:val="ECC Footnote"/>
    <w:basedOn w:val="Normal"/>
    <w:autoRedefine/>
    <w:uiPriority w:val="99"/>
    <w:pPr>
      <w:ind w:left="454" w:hanging="454"/>
    </w:pPr>
    <w:rPr>
      <w:sz w:val="16"/>
    </w:rPr>
  </w:style>
  <w:style w:type="paragraph" w:styleId="FootnoteText">
    <w:name w:val="footnote text"/>
    <w:basedOn w:val="Normal"/>
    <w:link w:val="FootnoteTextChar"/>
    <w:uiPriority w:val="99"/>
    <w:semiHidden/>
    <w:rPr>
      <w:szCs w:val="20"/>
    </w:rPr>
  </w:style>
  <w:style w:type="character" w:customStyle="1" w:styleId="FootnoteTextChar">
    <w:name w:val="Footnote Text Char"/>
    <w:basedOn w:val="DefaultParagraphFont"/>
    <w:link w:val="FootnoteText"/>
    <w:uiPriority w:val="99"/>
    <w:semiHidden/>
    <w:rsid w:val="007722D0"/>
    <w:rPr>
      <w:rFonts w:ascii="Arial" w:hAnsi="Arial"/>
      <w:sz w:val="20"/>
      <w:szCs w:val="20"/>
      <w:lang w:val="en-US" w:eastAsia="en-US"/>
    </w:rPr>
  </w:style>
  <w:style w:type="character" w:styleId="FootnoteReference">
    <w:name w:val="footnote reference"/>
    <w:basedOn w:val="DefaultParagraphFont"/>
    <w:uiPriority w:val="99"/>
    <w:semiHidden/>
    <w:rPr>
      <w:rFonts w:cs="Times New Roman"/>
      <w:vertAlign w:val="superscript"/>
    </w:rPr>
  </w:style>
  <w:style w:type="paragraph" w:customStyle="1" w:styleId="Text">
    <w:name w:val="Text"/>
    <w:basedOn w:val="Normal"/>
    <w:uiPriority w:val="99"/>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pPr>
      <w:spacing w:after="0"/>
      <w:ind w:left="284" w:hanging="284"/>
    </w:pPr>
    <w:rPr>
      <w:sz w:val="16"/>
      <w:szCs w:val="16"/>
    </w:rPr>
  </w:style>
  <w:style w:type="paragraph" w:customStyle="1" w:styleId="reference">
    <w:name w:val="reference"/>
    <w:basedOn w:val="Normal"/>
    <w:uiPriority w:val="99"/>
    <w:pPr>
      <w:numPr>
        <w:numId w:val="6"/>
      </w:numPr>
    </w:pPr>
    <w:rPr>
      <w:lang w:eastAsia="ja-JP"/>
    </w:rPr>
  </w:style>
  <w:style w:type="paragraph" w:customStyle="1" w:styleId="ECCAnnexheading2">
    <w:name w:val="ECC Annex heading2"/>
    <w:basedOn w:val="Normal"/>
    <w:next w:val="ECCParagraph"/>
    <w:uiPriority w:val="99"/>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pPr>
      <w:spacing w:before="120" w:after="120"/>
      <w:ind w:left="3402"/>
    </w:pPr>
    <w:rPr>
      <w:bCs/>
      <w:sz w:val="18"/>
    </w:rPr>
  </w:style>
  <w:style w:type="paragraph" w:customStyle="1" w:styleId="Reporttitledescription">
    <w:name w:val="Report title/description"/>
    <w:basedOn w:val="Normal"/>
    <w:uiPriority w:val="99"/>
    <w:pPr>
      <w:spacing w:before="600" w:line="288" w:lineRule="auto"/>
      <w:ind w:left="3402"/>
    </w:pPr>
    <w:rPr>
      <w:sz w:val="24"/>
    </w:rPr>
  </w:style>
  <w:style w:type="paragraph" w:styleId="Caption">
    <w:name w:val="caption"/>
    <w:basedOn w:val="Normal"/>
    <w:next w:val="Normal"/>
    <w:uiPriority w:val="99"/>
    <w:qFormat/>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sz w:val="18"/>
      <w:szCs w:val="18"/>
      <w:lang w:eastAsia="de-DE"/>
    </w:rPr>
  </w:style>
  <w:style w:type="character" w:customStyle="1" w:styleId="BalloonTextChar">
    <w:name w:val="Balloon Text Char"/>
    <w:basedOn w:val="DefaultParagraphFont"/>
    <w:link w:val="BalloonText"/>
    <w:uiPriority w:val="99"/>
    <w:semiHidden/>
    <w:locked/>
    <w:rsid w:val="009E47EB"/>
    <w:rPr>
      <w:rFonts w:ascii="Lucida Grande" w:hAnsi="Lucida Grande"/>
      <w:sz w:val="18"/>
      <w:lang w:val="en-US"/>
    </w:rPr>
  </w:style>
  <w:style w:type="paragraph" w:styleId="ListParagraph">
    <w:name w:val="List Paragraph"/>
    <w:basedOn w:val="Normal"/>
    <w:uiPriority w:val="99"/>
    <w:qFormat/>
    <w:rsid w:val="0046236D"/>
    <w:pPr>
      <w:ind w:left="720"/>
      <w:contextualSpacing/>
    </w:pPr>
  </w:style>
  <w:style w:type="numbering" w:customStyle="1" w:styleId="ECCBullets">
    <w:name w:val="ECC Bullets"/>
    <w:rsid w:val="007722D0"/>
    <w:pPr>
      <w:numPr>
        <w:numId w:val="8"/>
      </w:numPr>
    </w:pPr>
  </w:style>
  <w:style w:type="numbering" w:customStyle="1" w:styleId="ECCNumbers-Letters">
    <w:name w:val="ECC Numbers-Letters"/>
    <w:rsid w:val="007722D0"/>
    <w:pPr>
      <w:numPr>
        <w:numId w:val="16"/>
      </w:numPr>
    </w:pPr>
  </w:style>
  <w:style w:type="numbering" w:customStyle="1" w:styleId="ECCNumbers-Bullets">
    <w:name w:val="ECC Numbers-Bullets"/>
    <w:rsid w:val="007722D0"/>
    <w:pPr>
      <w:numPr>
        <w:numId w:val="14"/>
      </w:numPr>
    </w:pPr>
  </w:style>
</w:styles>
</file>

<file path=word/webSettings.xml><?xml version="1.0" encoding="utf-8"?>
<w:webSettings xmlns:r="http://schemas.openxmlformats.org/officeDocument/2006/relationships" xmlns:w="http://schemas.openxmlformats.org/wordprocessingml/2006/main">
  <w:divs>
    <w:div w:id="1256790840">
      <w:marLeft w:val="0"/>
      <w:marRight w:val="0"/>
      <w:marTop w:val="0"/>
      <w:marBottom w:val="0"/>
      <w:divBdr>
        <w:top w:val="none" w:sz="0" w:space="0" w:color="auto"/>
        <w:left w:val="none" w:sz="0" w:space="0" w:color="auto"/>
        <w:bottom w:val="none" w:sz="0" w:space="0" w:color="auto"/>
        <w:right w:val="none" w:sz="0" w:space="0" w:color="auto"/>
      </w:divBdr>
    </w:div>
    <w:div w:id="1256790841">
      <w:marLeft w:val="0"/>
      <w:marRight w:val="0"/>
      <w:marTop w:val="0"/>
      <w:marBottom w:val="0"/>
      <w:divBdr>
        <w:top w:val="none" w:sz="0" w:space="0" w:color="auto"/>
        <w:left w:val="none" w:sz="0" w:space="0" w:color="auto"/>
        <w:bottom w:val="none" w:sz="0" w:space="0" w:color="auto"/>
        <w:right w:val="none" w:sz="0" w:space="0" w:color="auto"/>
      </w:divBdr>
    </w:div>
    <w:div w:id="1256790842">
      <w:marLeft w:val="0"/>
      <w:marRight w:val="0"/>
      <w:marTop w:val="0"/>
      <w:marBottom w:val="0"/>
      <w:divBdr>
        <w:top w:val="none" w:sz="0" w:space="0" w:color="auto"/>
        <w:left w:val="none" w:sz="0" w:space="0" w:color="auto"/>
        <w:bottom w:val="none" w:sz="0" w:space="0" w:color="auto"/>
        <w:right w:val="none" w:sz="0" w:space="0" w:color="auto"/>
      </w:divBdr>
    </w:div>
    <w:div w:id="12567908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aganzo\Documents\FM%20CEPT\CPG%20PT-A\2012-09%20MEETING%201-LONDON\TEMPLATES\Template-CEPT%20brief-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Template-CEPT brief-1</Template>
  <TotalTime>0</TotalTime>
  <Pages>6</Pages>
  <Words>1129</Words>
  <Characters>7119</Characters>
  <Application>Microsoft Office Outlook</Application>
  <DocSecurity>0</DocSecurity>
  <Lines>0</Lines>
  <Paragraphs>0</Paragraphs>
  <ScaleCrop>false</ScaleCrop>
  <Company>ECO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E Daganzo</dc:creator>
  <cp:keywords/>
  <dc:description>This template is used as guidance to draft ECC Reports.</dc:description>
  <cp:lastModifiedBy>221b</cp:lastModifiedBy>
  <cp:revision>3</cp:revision>
  <cp:lastPrinted>2012-08-29T08:53:00Z</cp:lastPrinted>
  <dcterms:created xsi:type="dcterms:W3CDTF">2012-09-18T10:14:00Z</dcterms:created>
  <dcterms:modified xsi:type="dcterms:W3CDTF">2013-01-10T08:51:00Z</dcterms:modified>
</cp:coreProperties>
</file>